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7118" w14:textId="77777777" w:rsidR="00D95174" w:rsidRPr="00D95174" w:rsidRDefault="00D95174" w:rsidP="00D95174">
      <w:pPr>
        <w:spacing w:after="225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</w:pPr>
      <w:proofErr w:type="spellStart"/>
      <w:r w:rsidRPr="00D95174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>Mês</w:t>
      </w:r>
      <w:proofErr w:type="spellEnd"/>
      <w:r w:rsidRPr="00D95174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 xml:space="preserve"> da </w:t>
      </w:r>
      <w:proofErr w:type="spellStart"/>
      <w:r w:rsidRPr="00D95174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>Bíblia</w:t>
      </w:r>
      <w:proofErr w:type="spellEnd"/>
      <w:r w:rsidRPr="00D95174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 xml:space="preserve"> 2021 | A Carta </w:t>
      </w:r>
      <w:proofErr w:type="spellStart"/>
      <w:r w:rsidRPr="00D95174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>aos</w:t>
      </w:r>
      <w:proofErr w:type="spellEnd"/>
      <w:r w:rsidRPr="00D95174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 xml:space="preserve"> Gálatas – Chaves de </w:t>
      </w:r>
      <w:proofErr w:type="spellStart"/>
      <w:r w:rsidRPr="00D95174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>Leitura</w:t>
      </w:r>
      <w:proofErr w:type="spellEnd"/>
    </w:p>
    <w:p w14:paraId="6792EE73" w14:textId="77777777" w:rsidR="00D95174" w:rsidRDefault="00D95174" w:rsidP="00D95174">
      <w:pPr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</w:pPr>
      <w:hyperlink r:id="rId5" w:tooltip="Portal das CEBs" w:history="1">
        <w:r w:rsidRPr="00D95174">
          <w:rPr>
            <w:rFonts w:ascii="Segoe UI" w:eastAsia="Times New Roman" w:hAnsi="Segoe UI" w:cs="Segoe UI"/>
            <w:b/>
            <w:bCs/>
            <w:color w:val="333333"/>
            <w:sz w:val="18"/>
            <w:szCs w:val="18"/>
            <w:bdr w:val="none" w:sz="0" w:space="0" w:color="auto" w:frame="1"/>
            <w:lang w:val="es-UY" w:eastAsia="es-UY"/>
          </w:rPr>
          <w:t>Portal das CEBs</w:t>
        </w:r>
      </w:hyperlink>
      <w:r w:rsidRPr="00D95174">
        <w:rPr>
          <w:rFonts w:ascii="Segoe UI" w:eastAsia="Times New Roman" w:hAnsi="Segoe UI" w:cs="Segoe UI"/>
          <w:color w:val="333333"/>
          <w:sz w:val="18"/>
          <w:szCs w:val="18"/>
          <w:lang w:val="es-UY" w:eastAsia="es-UY"/>
        </w:rPr>
        <w:t> </w:t>
      </w:r>
      <w:hyperlink r:id="rId6" w:tgtFrame="_blank" w:history="1">
        <w:r w:rsidRPr="00D95174">
          <w:rPr>
            <w:rFonts w:ascii="Segoe UI" w:eastAsia="Times New Roman" w:hAnsi="Segoe UI" w:cs="Segoe UI"/>
            <w:color w:val="333333"/>
            <w:sz w:val="18"/>
            <w:szCs w:val="18"/>
            <w:bdr w:val="none" w:sz="0" w:space="0" w:color="auto" w:frame="1"/>
            <w:lang w:val="es-UY" w:eastAsia="es-UY"/>
          </w:rPr>
          <w:t> </w:t>
        </w:r>
      </w:hyperlink>
      <w:r w:rsidRPr="00D95174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  <w:t> </w:t>
      </w:r>
    </w:p>
    <w:p w14:paraId="4AC45840" w14:textId="77777777" w:rsidR="00D95174" w:rsidRDefault="00D95174" w:rsidP="00D95174">
      <w:pPr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</w:pPr>
    </w:p>
    <w:p w14:paraId="081191B5" w14:textId="0AD28EFE" w:rsidR="00D95174" w:rsidRPr="00D95174" w:rsidRDefault="00D95174" w:rsidP="00D95174">
      <w:pPr>
        <w:spacing w:after="0" w:line="240" w:lineRule="auto"/>
        <w:rPr>
          <w:rFonts w:ascii="Segoe UI" w:eastAsia="Times New Roman" w:hAnsi="Segoe UI" w:cs="Segoe UI"/>
          <w:b/>
          <w:bCs/>
          <w:color w:val="2C2F34"/>
          <w:sz w:val="32"/>
          <w:szCs w:val="32"/>
          <w:lang w:val="es-UY" w:eastAsia="es-UY"/>
        </w:rPr>
      </w:pPr>
      <w:hyperlink r:id="rId7" w:history="1">
        <w:r w:rsidRPr="00D95174">
          <w:rPr>
            <w:rFonts w:ascii="Segoe UI" w:eastAsia="Times New Roman" w:hAnsi="Segoe UI" w:cs="Segoe UI"/>
            <w:b/>
            <w:bCs/>
            <w:color w:val="BA2539"/>
            <w:sz w:val="32"/>
            <w:szCs w:val="32"/>
            <w:bdr w:val="none" w:sz="0" w:space="0" w:color="auto" w:frame="1"/>
            <w:lang w:val="es-UY" w:eastAsia="es-UY"/>
          </w:rPr>
          <w:t xml:space="preserve">Por Francisco </w:t>
        </w:r>
        <w:proofErr w:type="spellStart"/>
        <w:r w:rsidRPr="00D95174">
          <w:rPr>
            <w:rFonts w:ascii="Segoe UI" w:eastAsia="Times New Roman" w:hAnsi="Segoe UI" w:cs="Segoe UI"/>
            <w:b/>
            <w:bCs/>
            <w:color w:val="BA2539"/>
            <w:sz w:val="32"/>
            <w:szCs w:val="32"/>
            <w:bdr w:val="none" w:sz="0" w:space="0" w:color="auto" w:frame="1"/>
            <w:lang w:val="es-UY" w:eastAsia="es-UY"/>
          </w:rPr>
          <w:t>Orofino</w:t>
        </w:r>
        <w:proofErr w:type="spellEnd"/>
      </w:hyperlink>
    </w:p>
    <w:p w14:paraId="250F7152" w14:textId="77777777" w:rsidR="00D95174" w:rsidRPr="00D95174" w:rsidRDefault="00D95174" w:rsidP="00D9517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Paulo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escreveu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carta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pessoal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as comunidades da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Galácia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durante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terceira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viagem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missionária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Nesta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viagem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ele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visitou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animou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comunidades das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províncias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Ásia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Macedônia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Acaia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região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hoje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Turquia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Grécia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deve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ter escrito a carta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provavelmente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Corinto, no inverno de 57-58.</w:t>
      </w:r>
    </w:p>
    <w:p w14:paraId="5C7B22D7" w14:textId="77777777" w:rsidR="00D95174" w:rsidRPr="00D95174" w:rsidRDefault="00D95174" w:rsidP="00D9517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Carta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Gálatas é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carta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só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Paulo,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já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Introdução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aparece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nenhum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nome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Equipe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Missionária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É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carta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pessoal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traduz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indignação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Paulo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que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ouvia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dizer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respeito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conflitos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comunidades da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Galácia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das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fofocas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respeito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própria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vida.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Aqui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acolá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tom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seco </w:t>
      </w:r>
      <w:proofErr w:type="gram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duro,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quase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ríspido e violento.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contrário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outras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cartas, Paulo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começa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escrito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tradicionais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saudações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orações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ação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graças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conclui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bênçãos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invocações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Ele entra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direto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assunto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7AF479F4" w14:textId="77777777" w:rsidR="00D95174" w:rsidRPr="00D95174" w:rsidRDefault="00D95174" w:rsidP="00D95174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Lendo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carta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percebemos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algumas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dificuldades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linguagem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usada por Paulo. É que a carta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Gálatas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carta pastoral, como as cartas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coríntios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carta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filipenses. Gálatas é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esboço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tratado teológico, onde Paulo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começa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organizar e a sistematizar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pensamento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forma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acadêmica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 texto nos parece confuso </w:t>
      </w:r>
      <w:proofErr w:type="gram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difícil. Posteriormente, 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próprio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Paulo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vai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organizar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melhor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teológica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escrevendo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Carta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Romanos. Podemos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dizer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a Carta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Gálatas é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espécie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rascunho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Carta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Romanos.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Aqui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vale lembrar o recado dado pela Segunda Carta de Pedro: “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Considerem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a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paciência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Deus para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conosco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tem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em vista a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nossa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salvação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conforme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escreveu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para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vocês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o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nosso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amado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irmão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Paulo, segundo a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sabedoria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lhe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foi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dada. Em todas as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suas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cartas ele fala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disso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. É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verdade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nelas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há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alguns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pontos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difíceis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entender, que os ignorantes </w:t>
      </w:r>
      <w:proofErr w:type="gram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</w:t>
      </w:r>
      <w:proofErr w:type="gram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vacilantes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distorcem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como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fazem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as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demais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Escrituras, para a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sua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própria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perdição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.</w:t>
      </w: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” (2Pd 3,15-16).</w:t>
      </w:r>
    </w:p>
    <w:p w14:paraId="0FF77C68" w14:textId="77777777" w:rsidR="00D95174" w:rsidRPr="00D95174" w:rsidRDefault="00D95174" w:rsidP="00D9517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lastRenderedPageBreak/>
        <w:t>Diante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destas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informações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dentro da gente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pergunta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: “Mas o que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houve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?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Qual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foi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problema de Paulo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pessoal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comunidades da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Galácia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?”</w:t>
      </w:r>
    </w:p>
    <w:p w14:paraId="246C5183" w14:textId="77777777" w:rsidR="00D95174" w:rsidRPr="00D95174" w:rsidRDefault="00D95174" w:rsidP="00D95174">
      <w:pPr>
        <w:spacing w:after="0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2C2F34"/>
          <w:sz w:val="35"/>
          <w:szCs w:val="35"/>
          <w:lang w:val="es-UY" w:eastAsia="es-UY"/>
        </w:rPr>
      </w:pPr>
      <w:r w:rsidRPr="00D95174">
        <w:rPr>
          <w:rFonts w:ascii="Segoe UI" w:eastAsia="Times New Roman" w:hAnsi="Segoe UI" w:cs="Segoe UI"/>
          <w:b/>
          <w:bCs/>
          <w:color w:val="2C2F34"/>
          <w:sz w:val="35"/>
          <w:szCs w:val="35"/>
          <w:bdr w:val="none" w:sz="0" w:space="0" w:color="auto" w:frame="1"/>
          <w:lang w:val="es-UY" w:eastAsia="es-UY"/>
        </w:rPr>
        <w:t xml:space="preserve">O problema que </w:t>
      </w:r>
      <w:proofErr w:type="spellStart"/>
      <w:r w:rsidRPr="00D95174">
        <w:rPr>
          <w:rFonts w:ascii="Segoe UI" w:eastAsia="Times New Roman" w:hAnsi="Segoe UI" w:cs="Segoe UI"/>
          <w:b/>
          <w:bCs/>
          <w:color w:val="2C2F34"/>
          <w:sz w:val="35"/>
          <w:szCs w:val="35"/>
          <w:bdr w:val="none" w:sz="0" w:space="0" w:color="auto" w:frame="1"/>
          <w:lang w:val="es-UY" w:eastAsia="es-UY"/>
        </w:rPr>
        <w:t>havia</w:t>
      </w:r>
      <w:proofErr w:type="spellEnd"/>
      <w:r w:rsidRPr="00D95174">
        <w:rPr>
          <w:rFonts w:ascii="Segoe UI" w:eastAsia="Times New Roman" w:hAnsi="Segoe UI" w:cs="Segoe UI"/>
          <w:b/>
          <w:bCs/>
          <w:color w:val="2C2F34"/>
          <w:sz w:val="35"/>
          <w:szCs w:val="35"/>
          <w:bdr w:val="none" w:sz="0" w:space="0" w:color="auto" w:frame="1"/>
          <w:lang w:val="es-UY" w:eastAsia="es-UY"/>
        </w:rPr>
        <w:t xml:space="preserve"> entre Paulo e a </w:t>
      </w:r>
      <w:proofErr w:type="spellStart"/>
      <w:r w:rsidRPr="00D95174">
        <w:rPr>
          <w:rFonts w:ascii="Segoe UI" w:eastAsia="Times New Roman" w:hAnsi="Segoe UI" w:cs="Segoe UI"/>
          <w:b/>
          <w:bCs/>
          <w:color w:val="2C2F34"/>
          <w:sz w:val="35"/>
          <w:szCs w:val="35"/>
          <w:bdr w:val="none" w:sz="0" w:space="0" w:color="auto" w:frame="1"/>
          <w:lang w:val="es-UY" w:eastAsia="es-UY"/>
        </w:rPr>
        <w:t>comunidade</w:t>
      </w:r>
      <w:proofErr w:type="spellEnd"/>
      <w:r w:rsidRPr="00D95174">
        <w:rPr>
          <w:rFonts w:ascii="Segoe UI" w:eastAsia="Times New Roman" w:hAnsi="Segoe UI" w:cs="Segoe UI"/>
          <w:b/>
          <w:bCs/>
          <w:color w:val="2C2F34"/>
          <w:sz w:val="35"/>
          <w:szCs w:val="35"/>
          <w:bdr w:val="none" w:sz="0" w:space="0" w:color="auto" w:frame="1"/>
          <w:lang w:val="es-UY" w:eastAsia="es-UY"/>
        </w:rPr>
        <w:t xml:space="preserve"> dos Gálatas</w:t>
      </w:r>
    </w:p>
    <w:p w14:paraId="6A7FDD1D" w14:textId="77777777" w:rsidR="00D95174" w:rsidRPr="00D95174" w:rsidRDefault="00D95174" w:rsidP="00D95174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O problema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surgiu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Igrejas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Galácia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onde Paulo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tinha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anunciado a Boa Nova,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receberam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missionários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diferentes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daquelas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ensinadas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Paulo 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Equipe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Missionaria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Para Paulo,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estes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missionários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pregavam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Evangelho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diferente”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daquele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ele mesmo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anunciava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carta, Paulo busca reafirmar que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ensinamentos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verdadeiro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Evangelho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Cristo” (cf.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Gl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1,6-7). Paulo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aceita que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alguém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propague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evangelho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diferente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daquele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ele mesmo anuncia 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ensina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 </w:t>
      </w:r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“Maldito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aquele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anunciar a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vocês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evangelho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diferente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daquele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anunciamos,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ainda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sejamos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nós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mesmos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ou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algum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anjo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céu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.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Já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dissemos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antes e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agora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repetimos: Maldito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seja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quem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anunciar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evangelho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diferente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daquele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vocês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receberam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”</w:t>
      </w: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(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Gl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1,8-9).</w:t>
      </w:r>
    </w:p>
    <w:p w14:paraId="46528929" w14:textId="77777777" w:rsidR="00D95174" w:rsidRPr="00D95174" w:rsidRDefault="00D95174" w:rsidP="00D9517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Estes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missionários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provavelmente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fariseus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convertidos,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traziam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hoje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chamada de “judaizante”. Eles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diziam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para ser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bom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faz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necessário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ser antes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bom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judeu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(cf. At 15,1). Por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exigiam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os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pagãos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já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batizados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fossem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circuncidados </w:t>
      </w:r>
      <w:proofErr w:type="gram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observassem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Lei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Antigo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Testamento. Mas os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próprios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judaizantes, em vez de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insistirem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Lei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Dez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Mandamentos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insistiam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práticas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tinham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ver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ritos </w:t>
      </w:r>
      <w:proofErr w:type="gram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comida, 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esqueciam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mandamento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importante da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Lei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: o amor a Deus 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próximo. Como 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próprio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Paulo lembra: “Toda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Lei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encontra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plenitude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num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só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mandamento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: Ame 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próximo como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 si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mesmo” (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Gl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5,14).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Estes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judaizantes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estavam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preocupados em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rituais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ultrapassados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tais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circuncisão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jejuns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festas, do que em observar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Lei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Deus (cf.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Gl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6,13).</w:t>
      </w:r>
    </w:p>
    <w:p w14:paraId="6764CBC0" w14:textId="77777777" w:rsidR="00D95174" w:rsidRPr="00D95174" w:rsidRDefault="00D95174" w:rsidP="00D95174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Diante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deste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problema que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provocava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muitas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discussões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conflitos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comunidades,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Alguém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deve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ter apelado a Paulo.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elaborou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então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primeira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resposta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é a Carta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Gálatas.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tarde,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aprofundou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assunto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elaborou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teológica que é a Carta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Romanos. Paulo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admite que se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obrigue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vieram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paganismo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fazerem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judeus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salvação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ele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diz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repete, se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dá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meio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fé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Cristo. </w:t>
      </w:r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“Sabemos que o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homem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não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se torna justo pelas obras da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Lei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mas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somente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pela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fé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em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Jesus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Cristo”</w:t>
      </w: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(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Gl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2,16).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 que nos salva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o que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fazemos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Deus observando os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mandamentos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mas sim o que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filho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Deus,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fez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morrendo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cruz. Esta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salvação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a </w:t>
      </w:r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mesma</w:t>
      </w: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para todos,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judeus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gentios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dá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através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seguimento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Cristo 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observância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antigos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rituais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judaizantes. Paulo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admite este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retrocesso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Anteriormente,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gálatas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já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tinham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abandonado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crenças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deuses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pagãos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aderir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à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Cristo. Como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agora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novamente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queriam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assumir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ritos que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fugiam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novo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rumo da vida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assumido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adesão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Cristo?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Seria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se,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aqui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 Brasil,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após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evangelizar 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batizar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índios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disséssemos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que, para eles se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salvarem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deveriam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rezar em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latim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cantar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cânticos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gregoriano,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pois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fez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 Católica por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mil 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quinhentos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anos, desde os tempos do imperador Constantino.</w:t>
      </w:r>
    </w:p>
    <w:p w14:paraId="20E96722" w14:textId="77777777" w:rsidR="00D95174" w:rsidRPr="00D95174" w:rsidRDefault="00D95174" w:rsidP="00D95174">
      <w:pPr>
        <w:spacing w:after="0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2C2F34"/>
          <w:sz w:val="35"/>
          <w:szCs w:val="35"/>
          <w:lang w:val="es-UY" w:eastAsia="es-UY"/>
        </w:rPr>
      </w:pPr>
      <w:proofErr w:type="spellStart"/>
      <w:r w:rsidRPr="00D95174">
        <w:rPr>
          <w:rFonts w:ascii="Segoe UI" w:eastAsia="Times New Roman" w:hAnsi="Segoe UI" w:cs="Segoe UI"/>
          <w:b/>
          <w:bCs/>
          <w:color w:val="2C2F34"/>
          <w:sz w:val="35"/>
          <w:szCs w:val="35"/>
          <w:bdr w:val="none" w:sz="0" w:space="0" w:color="auto" w:frame="1"/>
          <w:lang w:val="es-UY" w:eastAsia="es-UY"/>
        </w:rPr>
        <w:t>Conteúdo</w:t>
      </w:r>
      <w:proofErr w:type="spellEnd"/>
      <w:r w:rsidRPr="00D95174">
        <w:rPr>
          <w:rFonts w:ascii="Segoe UI" w:eastAsia="Times New Roman" w:hAnsi="Segoe UI" w:cs="Segoe UI"/>
          <w:b/>
          <w:bCs/>
          <w:color w:val="2C2F34"/>
          <w:sz w:val="35"/>
          <w:szCs w:val="35"/>
          <w:bdr w:val="none" w:sz="0" w:space="0" w:color="auto" w:frame="1"/>
          <w:lang w:val="es-UY" w:eastAsia="es-UY"/>
        </w:rPr>
        <w:t xml:space="preserve"> e </w:t>
      </w:r>
      <w:proofErr w:type="spellStart"/>
      <w:r w:rsidRPr="00D95174">
        <w:rPr>
          <w:rFonts w:ascii="Segoe UI" w:eastAsia="Times New Roman" w:hAnsi="Segoe UI" w:cs="Segoe UI"/>
          <w:b/>
          <w:bCs/>
          <w:color w:val="2C2F34"/>
          <w:sz w:val="35"/>
          <w:szCs w:val="35"/>
          <w:bdr w:val="none" w:sz="0" w:space="0" w:color="auto" w:frame="1"/>
          <w:lang w:val="es-UY" w:eastAsia="es-UY"/>
        </w:rPr>
        <w:t>Divisão</w:t>
      </w:r>
      <w:proofErr w:type="spellEnd"/>
      <w:r w:rsidRPr="00D95174">
        <w:rPr>
          <w:rFonts w:ascii="Segoe UI" w:eastAsia="Times New Roman" w:hAnsi="Segoe UI" w:cs="Segoe UI"/>
          <w:b/>
          <w:bCs/>
          <w:color w:val="2C2F34"/>
          <w:sz w:val="35"/>
          <w:szCs w:val="35"/>
          <w:bdr w:val="none" w:sz="0" w:space="0" w:color="auto" w:frame="1"/>
          <w:lang w:val="es-UY" w:eastAsia="es-UY"/>
        </w:rPr>
        <w:t xml:space="preserve"> da Carta</w:t>
      </w:r>
    </w:p>
    <w:p w14:paraId="352649C9" w14:textId="77777777" w:rsidR="00D95174" w:rsidRPr="00D95174" w:rsidRDefault="00D95174" w:rsidP="00D95174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D9517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Endereço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(1,1-5)</w:t>
      </w:r>
    </w:p>
    <w:p w14:paraId="18E973F9" w14:textId="77777777" w:rsidR="00D95174" w:rsidRPr="00D95174" w:rsidRDefault="00D95174" w:rsidP="00D95174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D9517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Primeira</w:t>
      </w:r>
      <w:proofErr w:type="spellEnd"/>
      <w:r w:rsidRPr="00D9517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Parte</w:t>
      </w: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(1,6 até 2,21)</w:t>
      </w:r>
    </w:p>
    <w:p w14:paraId="4F12C3AA" w14:textId="77777777" w:rsidR="00D95174" w:rsidRPr="00D95174" w:rsidRDefault="00D95174" w:rsidP="00D95174">
      <w:pPr>
        <w:numPr>
          <w:ilvl w:val="0"/>
          <w:numId w:val="2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situação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: 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Evangelho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foi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pervertido (1,6-20).</w:t>
      </w:r>
    </w:p>
    <w:p w14:paraId="1DE9310B" w14:textId="77777777" w:rsidR="00D95174" w:rsidRPr="00D95174" w:rsidRDefault="00D95174" w:rsidP="00D95174">
      <w:pPr>
        <w:numPr>
          <w:ilvl w:val="0"/>
          <w:numId w:val="2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 vida de Paulo (1,11-24).</w:t>
      </w:r>
    </w:p>
    <w:p w14:paraId="160B3622" w14:textId="77777777" w:rsidR="00D95174" w:rsidRPr="00D95174" w:rsidRDefault="00D95174" w:rsidP="00D95174">
      <w:pPr>
        <w:numPr>
          <w:ilvl w:val="0"/>
          <w:numId w:val="2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missão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Paulo: anunciar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gratuidade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salvação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Cristo (2,1-10).</w:t>
      </w:r>
    </w:p>
    <w:p w14:paraId="4728869A" w14:textId="77777777" w:rsidR="00D95174" w:rsidRPr="00D95174" w:rsidRDefault="00D95174" w:rsidP="00D95174">
      <w:pPr>
        <w:numPr>
          <w:ilvl w:val="0"/>
          <w:numId w:val="2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justificação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fé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Cristo (2,11-21).</w:t>
      </w:r>
    </w:p>
    <w:p w14:paraId="78C08A06" w14:textId="77777777" w:rsidR="00D95174" w:rsidRPr="00D95174" w:rsidRDefault="00D95174" w:rsidP="00D95174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Segunda Parte</w:t>
      </w: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(3,1 até 6,18)</w:t>
      </w:r>
    </w:p>
    <w:p w14:paraId="0D7BFE58" w14:textId="77777777" w:rsidR="00D95174" w:rsidRPr="00D95174" w:rsidRDefault="00D95174" w:rsidP="00D95174">
      <w:pPr>
        <w:numPr>
          <w:ilvl w:val="0"/>
          <w:numId w:val="3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retrocesso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comunidades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Galácia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(3,1-5).</w:t>
      </w:r>
    </w:p>
    <w:p w14:paraId="68D93AAD" w14:textId="77777777" w:rsidR="00D95174" w:rsidRPr="00D95174" w:rsidRDefault="00D95174" w:rsidP="00D95174">
      <w:pPr>
        <w:numPr>
          <w:ilvl w:val="0"/>
          <w:numId w:val="3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opção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entre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fé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Cristo e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observância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Lei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(3,6 até 4,7).</w:t>
      </w:r>
    </w:p>
    <w:p w14:paraId="70ACEE57" w14:textId="77777777" w:rsidR="00D95174" w:rsidRPr="00D95174" w:rsidRDefault="00D95174" w:rsidP="00D95174">
      <w:pPr>
        <w:numPr>
          <w:ilvl w:val="0"/>
          <w:numId w:val="3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exortação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Paulo: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acolher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liberdade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o Cristo nos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trouxe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(4,8 até 6,10).</w:t>
      </w:r>
    </w:p>
    <w:p w14:paraId="3540643C" w14:textId="77777777" w:rsidR="00D95174" w:rsidRPr="00D95174" w:rsidRDefault="00D95174" w:rsidP="00D95174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D9517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Conclusão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(6,11-18).</w:t>
      </w:r>
    </w:p>
    <w:p w14:paraId="0252298B" w14:textId="77777777" w:rsidR="00D95174" w:rsidRPr="00D95174" w:rsidRDefault="00D95174" w:rsidP="00D95174">
      <w:pPr>
        <w:spacing w:after="0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2C2F34"/>
          <w:sz w:val="35"/>
          <w:szCs w:val="35"/>
          <w:lang w:val="es-UY" w:eastAsia="es-UY"/>
        </w:rPr>
      </w:pPr>
      <w:r w:rsidRPr="00D95174">
        <w:rPr>
          <w:rFonts w:ascii="Segoe UI" w:eastAsia="Times New Roman" w:hAnsi="Segoe UI" w:cs="Segoe UI"/>
          <w:b/>
          <w:bCs/>
          <w:color w:val="2C2F34"/>
          <w:sz w:val="35"/>
          <w:szCs w:val="35"/>
          <w:bdr w:val="none" w:sz="0" w:space="0" w:color="auto" w:frame="1"/>
          <w:lang w:val="es-UY" w:eastAsia="es-UY"/>
        </w:rPr>
        <w:t xml:space="preserve">Os sete temas </w:t>
      </w:r>
      <w:proofErr w:type="spellStart"/>
      <w:r w:rsidRPr="00D95174">
        <w:rPr>
          <w:rFonts w:ascii="Segoe UI" w:eastAsia="Times New Roman" w:hAnsi="Segoe UI" w:cs="Segoe UI"/>
          <w:b/>
          <w:bCs/>
          <w:color w:val="2C2F34"/>
          <w:sz w:val="35"/>
          <w:szCs w:val="35"/>
          <w:bdr w:val="none" w:sz="0" w:space="0" w:color="auto" w:frame="1"/>
          <w:lang w:val="es-UY" w:eastAsia="es-UY"/>
        </w:rPr>
        <w:t>centrais</w:t>
      </w:r>
      <w:proofErr w:type="spellEnd"/>
      <w:r w:rsidRPr="00D95174">
        <w:rPr>
          <w:rFonts w:ascii="Segoe UI" w:eastAsia="Times New Roman" w:hAnsi="Segoe UI" w:cs="Segoe UI"/>
          <w:b/>
          <w:bCs/>
          <w:color w:val="2C2F34"/>
          <w:sz w:val="35"/>
          <w:szCs w:val="35"/>
          <w:bdr w:val="none" w:sz="0" w:space="0" w:color="auto" w:frame="1"/>
          <w:lang w:val="es-UY" w:eastAsia="es-UY"/>
        </w:rPr>
        <w:t xml:space="preserve"> da Carta </w:t>
      </w:r>
      <w:proofErr w:type="spellStart"/>
      <w:r w:rsidRPr="00D95174">
        <w:rPr>
          <w:rFonts w:ascii="Segoe UI" w:eastAsia="Times New Roman" w:hAnsi="Segoe UI" w:cs="Segoe UI"/>
          <w:b/>
          <w:bCs/>
          <w:color w:val="2C2F34"/>
          <w:sz w:val="35"/>
          <w:szCs w:val="35"/>
          <w:bdr w:val="none" w:sz="0" w:space="0" w:color="auto" w:frame="1"/>
          <w:lang w:val="es-UY" w:eastAsia="es-UY"/>
        </w:rPr>
        <w:t>aos</w:t>
      </w:r>
      <w:proofErr w:type="spellEnd"/>
      <w:r w:rsidRPr="00D95174">
        <w:rPr>
          <w:rFonts w:ascii="Segoe UI" w:eastAsia="Times New Roman" w:hAnsi="Segoe UI" w:cs="Segoe UI"/>
          <w:b/>
          <w:bCs/>
          <w:color w:val="2C2F34"/>
          <w:sz w:val="35"/>
          <w:szCs w:val="35"/>
          <w:bdr w:val="none" w:sz="0" w:space="0" w:color="auto" w:frame="1"/>
          <w:lang w:val="es-UY" w:eastAsia="es-UY"/>
        </w:rPr>
        <w:t xml:space="preserve"> Gálatas</w:t>
      </w:r>
    </w:p>
    <w:p w14:paraId="25106183" w14:textId="77777777" w:rsidR="00D95174" w:rsidRPr="00D95174" w:rsidRDefault="00D95174" w:rsidP="00D95174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O lema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escolhido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pela CNBB para nos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acompanhar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leitura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comunitária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carta de Paulo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Gálatas é esta frase: </w:t>
      </w:r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Pois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todos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vós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sois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só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em Cristo </w:t>
      </w:r>
      <w:proofErr w:type="spellStart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Jesus</w:t>
      </w:r>
      <w:proofErr w:type="spellEnd"/>
      <w:r w:rsidRPr="00D9517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”</w:t>
      </w: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(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Gl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3,28d). O lema é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boa chave para revelar a riqueza da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mensagem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destes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sete temas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centrais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carta.</w:t>
      </w:r>
    </w:p>
    <w:p w14:paraId="007991EC" w14:textId="77777777" w:rsidR="00D95174" w:rsidRPr="00D95174" w:rsidRDefault="00D95174" w:rsidP="00D9517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Em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escrito, Paulo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ressalta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seguintes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assuntos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:</w:t>
      </w:r>
    </w:p>
    <w:p w14:paraId="52DFBF1C" w14:textId="77777777" w:rsidR="00D95174" w:rsidRPr="00D95174" w:rsidRDefault="00D95174" w:rsidP="00D95174">
      <w:pPr>
        <w:numPr>
          <w:ilvl w:val="0"/>
          <w:numId w:val="4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salvação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Cristo que nos é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oferecida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gratuitamente por Deus (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Gl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3,23-29)</w:t>
      </w:r>
    </w:p>
    <w:p w14:paraId="6CB36DBC" w14:textId="77777777" w:rsidR="00D95174" w:rsidRPr="00D95174" w:rsidRDefault="00D95174" w:rsidP="00D95174">
      <w:pPr>
        <w:numPr>
          <w:ilvl w:val="0"/>
          <w:numId w:val="4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liberdade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Cristo: é para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liberdade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Cristo nos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libertou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Gl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5,1-6)</w:t>
      </w:r>
    </w:p>
    <w:p w14:paraId="3A85C56D" w14:textId="77777777" w:rsidR="00D95174" w:rsidRPr="00D95174" w:rsidRDefault="00D95174" w:rsidP="00D95174">
      <w:pPr>
        <w:numPr>
          <w:ilvl w:val="0"/>
          <w:numId w:val="4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liberdade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confunde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libertinagem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conflito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entre “carne” e “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espírito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” (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Gl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5,15-26)</w:t>
      </w:r>
    </w:p>
    <w:p w14:paraId="38F3B174" w14:textId="77777777" w:rsidR="00D95174" w:rsidRPr="00D95174" w:rsidRDefault="00D95174" w:rsidP="00D95174">
      <w:pPr>
        <w:numPr>
          <w:ilvl w:val="0"/>
          <w:numId w:val="4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o centro da vida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Viver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Tradição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judaica a partir da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novidade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Gl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2,15-21)</w:t>
      </w:r>
    </w:p>
    <w:p w14:paraId="77EB7439" w14:textId="77777777" w:rsidR="00D95174" w:rsidRPr="00D95174" w:rsidRDefault="00D95174" w:rsidP="00D95174">
      <w:pPr>
        <w:numPr>
          <w:ilvl w:val="0"/>
          <w:numId w:val="4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Existe apenas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Evangelho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unicidade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salvação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Cristo (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Gl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1,6-10)</w:t>
      </w:r>
    </w:p>
    <w:p w14:paraId="1ED69AAE" w14:textId="77777777" w:rsidR="00D95174" w:rsidRPr="00D95174" w:rsidRDefault="00D95174" w:rsidP="00D95174">
      <w:pPr>
        <w:numPr>
          <w:ilvl w:val="0"/>
          <w:numId w:val="4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Gloriar-se apenas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cruz de Cristo.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Conviver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 amor no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meio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calúnias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mentiras (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Gl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6,11-18)</w:t>
      </w:r>
    </w:p>
    <w:p w14:paraId="29F8D550" w14:textId="77777777" w:rsidR="00D95174" w:rsidRPr="00D95174" w:rsidRDefault="00D95174" w:rsidP="00D95174">
      <w:pPr>
        <w:numPr>
          <w:ilvl w:val="0"/>
          <w:numId w:val="4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liberdade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vivida no amor. Vida em 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comunidade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</w:t>
      </w:r>
      <w:proofErr w:type="spellStart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Gl</w:t>
      </w:r>
      <w:proofErr w:type="spellEnd"/>
      <w:r w:rsidRPr="00D9517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6,1-10).</w:t>
      </w:r>
    </w:p>
    <w:p w14:paraId="4A1C1835" w14:textId="696AB84B" w:rsidR="002E2F5B" w:rsidRDefault="002E2F5B"/>
    <w:p w14:paraId="3E2D0111" w14:textId="49791201" w:rsidR="00D95174" w:rsidRDefault="00D95174">
      <w:hyperlink r:id="rId8" w:history="1">
        <w:r w:rsidRPr="00CA68F2">
          <w:rPr>
            <w:rStyle w:val="Hipervnculo"/>
          </w:rPr>
          <w:t>https://portaldascebs.org.br/2021/08/06/mes-da-biblia-2021-a-carta-aos-galatas-chaves-de-leitura/</w:t>
        </w:r>
      </w:hyperlink>
    </w:p>
    <w:p w14:paraId="7336AE55" w14:textId="77777777" w:rsidR="00D95174" w:rsidRDefault="00D95174"/>
    <w:sectPr w:rsidR="00D951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727B"/>
    <w:multiLevelType w:val="multilevel"/>
    <w:tmpl w:val="5D2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E1920"/>
    <w:multiLevelType w:val="multilevel"/>
    <w:tmpl w:val="47BC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E7F3A"/>
    <w:multiLevelType w:val="multilevel"/>
    <w:tmpl w:val="65FE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43F26"/>
    <w:multiLevelType w:val="multilevel"/>
    <w:tmpl w:val="952C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74"/>
    <w:rsid w:val="002E2F5B"/>
    <w:rsid w:val="00D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7CE7"/>
  <w15:chartTrackingRefBased/>
  <w15:docId w15:val="{B018B0CC-13D5-47A9-859E-474065B5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51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5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516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60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9801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ascebs.org.br/2021/08/06/mes-da-biblia-2021-a-carta-aos-galatas-chaves-de-leitu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dascebs.org.br/autor-colunista/francisco-orofi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a@iserassessoria.org.br" TargetMode="External"/><Relationship Id="rId5" Type="http://schemas.openxmlformats.org/officeDocument/2006/relationships/hyperlink" Target="https://portaldascebs.org.br/author/erik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2021-08-12T12:02:00Z</dcterms:created>
  <dcterms:modified xsi:type="dcterms:W3CDTF">2021-08-12T12:03:00Z</dcterms:modified>
</cp:coreProperties>
</file>