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090A" w14:textId="77777777" w:rsidR="00776F3A" w:rsidRPr="00776F3A" w:rsidRDefault="00776F3A" w:rsidP="00776F3A">
      <w:pPr>
        <w:jc w:val="both"/>
        <w:rPr>
          <w:rFonts w:ascii="Arial Black" w:hAnsi="Arial Black" w:cs="Segoe UI Historic"/>
          <w:b/>
          <w:bCs/>
          <w:color w:val="000000" w:themeColor="text1"/>
          <w:sz w:val="36"/>
          <w:szCs w:val="36"/>
        </w:rPr>
      </w:pPr>
      <w:r w:rsidRPr="00776F3A">
        <w:rPr>
          <w:rFonts w:ascii="Arial Black" w:hAnsi="Arial Black" w:cs="Segoe UI Historic"/>
          <w:b/>
          <w:bCs/>
          <w:color w:val="000000" w:themeColor="text1"/>
          <w:sz w:val="36"/>
          <w:szCs w:val="36"/>
        </w:rPr>
        <w:t>AUTORIDAD INCLUSIVA</w:t>
      </w:r>
    </w:p>
    <w:p w14:paraId="3BCF13DB" w14:textId="77777777" w:rsidR="00776F3A" w:rsidRDefault="00776F3A" w:rsidP="00776F3A">
      <w:pPr>
        <w:jc w:val="right"/>
        <w:rPr>
          <w:rFonts w:ascii="Segoe UI Historic" w:hAnsi="Segoe UI Historic" w:cs="Segoe UI Historic"/>
          <w:color w:val="FFFF00"/>
          <w:sz w:val="23"/>
          <w:szCs w:val="23"/>
        </w:rPr>
      </w:pPr>
      <w:r w:rsidRPr="00776F3A">
        <w:rPr>
          <w:rFonts w:ascii="Segoe UI Historic" w:hAnsi="Segoe UI Historic" w:cs="Segoe UI Historic"/>
          <w:b/>
          <w:bCs/>
          <w:color w:val="000000" w:themeColor="text1"/>
          <w:sz w:val="23"/>
          <w:szCs w:val="23"/>
        </w:rPr>
        <w:t xml:space="preserve">Virginia Raquel </w:t>
      </w:r>
      <w:proofErr w:type="spellStart"/>
      <w:r w:rsidRPr="00776F3A">
        <w:rPr>
          <w:rFonts w:ascii="Segoe UI Historic" w:hAnsi="Segoe UI Historic" w:cs="Segoe UI Historic"/>
          <w:b/>
          <w:bCs/>
          <w:color w:val="000000" w:themeColor="text1"/>
          <w:sz w:val="23"/>
          <w:szCs w:val="23"/>
        </w:rPr>
        <w:t>Azcuy</w:t>
      </w:r>
      <w:proofErr w:type="spellEnd"/>
    </w:p>
    <w:p w14:paraId="368D096A" w14:textId="4E089F2B" w:rsidR="00776F3A" w:rsidRDefault="00776F3A" w:rsidP="00776F3A">
      <w:pPr>
        <w:jc w:val="both"/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</w:pPr>
      <w:r w:rsidRPr="00776F3A">
        <w:rPr>
          <w:rFonts w:ascii="Segoe UI Historic" w:hAnsi="Segoe UI Historic" w:cs="Segoe UI Historic"/>
          <w:color w:val="FFFF00"/>
          <w:sz w:val="23"/>
          <w:szCs w:val="23"/>
        </w:rPr>
        <w:br/>
      </w:r>
      <w:r w:rsidRPr="00776F3A">
        <w:rPr>
          <w:rFonts w:ascii="Segoe UI Historic" w:hAnsi="Segoe UI Historic" w:cs="Segoe UI Historic"/>
          <w:color w:val="FFFF00"/>
          <w:sz w:val="23"/>
          <w:szCs w:val="23"/>
        </w:rPr>
        <w:br/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>En las comunidades cristianas existen discusiones y tensiones, aunque en general no hablemos en público de ellas. Tal vez por un exceso de cuidado de imagen o porque nos esforzamos por valorar y mostrar lo positivo, más que quejarnos de los límites o debilidades que nos preocupan. Y en cierto modo puede ser comprensible que así sea… Sin embargo, también puede ser saludable tematizar estas cuestiones internas, buscar una mayor transparencia institucional que pueda colaborar a una fidelidad más profunda y responsable públicamente. El evangelio de este domingo nos ayuda.</w:t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br/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br/>
        <w:t>En el capítulo 9 de Marcos, sigue la narración de un conjunto de discusiones internas que tienen lugar entre Jesús y los discípulos: quiénes tienen autoridad para expulsar demonios (vv.38-41) y la gravedad de escandalizar a los pequeños (vv.42-48). El tono de estos episodios es didáctico, Jesús aparece enseñando y de alguna manera, también, corrigiendo el rumbo, indicando cómo se pone en práctica la lógica del reino de Dios que corre por carriles distintos a la lógica humana. Importa recordar que estos relatos suceden a la discusión acerca de quién es el mayor o el primero, es decir, se vinculan a los puestos de liderazgo en la comunidad y a los apóstoles en particular.</w:t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br/>
      </w:r>
      <w:r w:rsidRPr="00776F3A">
        <w:rPr>
          <w:rFonts w:ascii="Segoe UI Historic" w:hAnsi="Segoe UI Historic" w:cs="Segoe UI Historic"/>
          <w:color w:val="FFFF00"/>
          <w:sz w:val="23"/>
          <w:szCs w:val="23"/>
        </w:rPr>
        <w:br/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>El primer debate es introducido por Juan en nombre de los demás: “Maestro, hemos visto a uno que expulsaba demonios en tu Nombre y tratamos de impedírselo porque no es de los nuestros” (Mc 9,38). Los discípulos entienden su autoridad de modo exclusivo: ellos pueden expulsar demonios y otros no pueden/deben hacerlo por no formar parte del grupo. Pero lo que Jesús enseña va en la dirección contraria: “No se lo impidan, porque nadie puede hacer un milagro en mi Nombre y luego hablar mal de mí” (Mc 9,39). Lo importante es el obrar, no la pertenencia a un grupo. Y Jesús agrega un criterio muy claro todavía: “el que no está contra nosotros, está con nosotros” (Mc 9,40). Se trata de mirar si se da el modo evangelio, una sintonía fina, de fondo, en el ser cristiano/a.</w:t>
      </w:r>
    </w:p>
    <w:p w14:paraId="42BDE71D" w14:textId="5FA6351D" w:rsidR="00776F3A" w:rsidRDefault="00776F3A" w:rsidP="00776F3A">
      <w:pPr>
        <w:jc w:val="both"/>
        <w:rPr>
          <w:rFonts w:ascii="Segoe UI Historic" w:hAnsi="Segoe UI Historic" w:cs="Segoe UI Historic"/>
          <w:color w:val="FFFF00"/>
          <w:sz w:val="23"/>
          <w:szCs w:val="23"/>
        </w:rPr>
      </w:pP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 xml:space="preserve">La escena evoca el pasaje de Nm 11,24-29, en el cual Moisés comparte su autoridad con setenta ancianos y un ayudante del profeta plantea su queja porque otros dos ancianos, que estaban fuera del grupo elegido, comienzan a profetizar. En este pasaje, que la liturgia propone como primera lectura de este domingo, Moisés responde: “¿Acaso estás celoso a causa de mí? ¡Ojalá todos fueran profetas en el pueblo del Señor, porque él les infunde su espíritu!” (Nm 11,29). En el evangelio de Marcos, de modo semejante a cómo le ocurrió a Moisés, Jesús se encuentra con un espíritu competitivo y excluyente que trata de reorientar mediante una razón </w:t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lastRenderedPageBreak/>
        <w:t>inclusiva. ¡Qué mejor si hay otros que también expulsan demonios! ¡Qué mejor si la salvación del reino circula!</w:t>
      </w:r>
    </w:p>
    <w:p w14:paraId="545D0D45" w14:textId="77777777" w:rsidR="00776F3A" w:rsidRDefault="00776F3A" w:rsidP="00776F3A">
      <w:pPr>
        <w:shd w:val="clear" w:color="auto" w:fill="FFFFFF" w:themeFill="background1"/>
        <w:jc w:val="both"/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</w:pP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</w:rPr>
        <w:br/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 xml:space="preserve">El segundo debate está referido a la gravedad del escándalo y, en él, se destacan dos elementos: la advertencia de no escandalizar a los pequeños, que parece referirse a los débiles o principiantes en la fe y el castigo reservado a quienes sean motivo de escándalo, que aparece representado con la impactante imagen de la amputación de diversos miembros del cuerpo: manos, pies, ojos: “Si tu mano es para ti ocasión de pecado, córtala, porque más te vale entrar en la vida manco, que ir con tus dos manos a la </w:t>
      </w:r>
      <w:proofErr w:type="spellStart"/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>Gehenna</w:t>
      </w:r>
      <w:proofErr w:type="spellEnd"/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>, al fuego inextinguible” (Mc 9,43). Y así con los otros miembros. Esta imagen de la automutilación parece expresar la exigencia de la radicalidad evangélica y a la vez la importancia central del testimonio, también aludido con el símbolo de la sal: “que haya sal en ustedes mismos y vivan en paz unos con otros” (Mc 9,50). ¿Cómo meditar estos debates</w:t>
      </w:r>
      <w:r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>?</w:t>
      </w:r>
    </w:p>
    <w:p w14:paraId="02169215" w14:textId="442E31A2" w:rsidR="002E2F5B" w:rsidRPr="00776F3A" w:rsidRDefault="00776F3A" w:rsidP="00776F3A">
      <w:pPr>
        <w:shd w:val="clear" w:color="auto" w:fill="FFFFFF" w:themeFill="background1"/>
        <w:jc w:val="both"/>
        <w:rPr>
          <w:color w:val="000000" w:themeColor="text1"/>
        </w:rPr>
      </w:pPr>
      <w:r w:rsidRPr="00776F3A">
        <w:rPr>
          <w:rFonts w:ascii="Segoe UI Historic" w:hAnsi="Segoe UI Historic" w:cs="Segoe UI Historic"/>
          <w:color w:val="FFFF00"/>
          <w:sz w:val="23"/>
          <w:szCs w:val="23"/>
        </w:rPr>
        <w:br/>
      </w:r>
      <w:r w:rsidRPr="00776F3A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 w:themeFill="background1"/>
        </w:rPr>
        <w:t>Ante todo, nos preguntamos qué aprendizajes necesitamos hacer hoy: ¿cómo reconocemos la autoridad que viene de Dios y a quienes la practican?, ¿logramos evitar el exclusivismo o caemos en la tentación de sentirnos superiores a los demás?, ¿nos hacemos responsables del don recibido y de anunciarlo con nuestra vida? El evangelio de Marcos tiene mucho para decirnos sobre cómo vivir una comunidad en hermanos y hermanas; la pregunta sobre quien es el mayor nos invita a crecer en un ejercicio inclusivo de la autoridad. ¡Qué mejor!</w:t>
      </w:r>
    </w:p>
    <w:p w14:paraId="04F44B83" w14:textId="270E0350" w:rsidR="00776F3A" w:rsidRPr="00776F3A" w:rsidRDefault="00776F3A">
      <w:pPr>
        <w:shd w:val="clear" w:color="auto" w:fill="FFFFFF" w:themeFill="background1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A9FEDF3" wp14:editId="03928E2F">
            <wp:extent cx="5203825" cy="34551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55" cy="345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6F3A" w:rsidRPr="0077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3A"/>
    <w:rsid w:val="002E2F5B"/>
    <w:rsid w:val="007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366D"/>
  <w15:chartTrackingRefBased/>
  <w15:docId w15:val="{8CEF98E6-B683-467B-AB8B-E468757B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2021-09-28T11:53:00Z</dcterms:created>
  <dcterms:modified xsi:type="dcterms:W3CDTF">2021-09-28T11:57:00Z</dcterms:modified>
</cp:coreProperties>
</file>