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4652" w:rsidRPr="00DA4652" w:rsidRDefault="00DA4652" w:rsidP="00DA4652">
      <w:pPr>
        <w:jc w:val="center"/>
        <w:rPr>
          <w:rFonts w:ascii="Segoe UI Historic" w:hAnsi="Segoe UI Historic" w:cs="Segoe UI Historic"/>
          <w:b/>
          <w:bCs/>
          <w:sz w:val="36"/>
          <w:szCs w:val="36"/>
          <w:shd w:val="clear" w:color="auto" w:fill="FFFFFF" w:themeFill="background1"/>
        </w:rPr>
      </w:pPr>
      <w:r w:rsidRPr="00DA4652">
        <w:rPr>
          <w:rFonts w:ascii="Segoe UI Historic" w:hAnsi="Segoe UI Historic" w:cs="Segoe UI Historic"/>
          <w:b/>
          <w:bCs/>
          <w:sz w:val="36"/>
          <w:szCs w:val="36"/>
          <w:shd w:val="clear" w:color="auto" w:fill="FFFFFF" w:themeFill="background1"/>
        </w:rPr>
        <w:t>DAR O RETENER</w:t>
      </w:r>
    </w:p>
    <w:p w:rsidR="00DA4652" w:rsidRDefault="00DA4652" w:rsidP="00DA4652">
      <w:pPr>
        <w:jc w:val="right"/>
        <w:rPr>
          <w:rFonts w:ascii="Segoe UI Historic" w:hAnsi="Segoe UI Historic" w:cs="Segoe UI Historic"/>
          <w:sz w:val="28"/>
          <w:szCs w:val="28"/>
          <w:shd w:val="clear" w:color="auto" w:fill="FFFFFF" w:themeFill="background1"/>
        </w:rPr>
      </w:pPr>
      <w:r>
        <w:rPr>
          <w:rFonts w:ascii="Segoe UI Historic" w:hAnsi="Segoe UI Historic" w:cs="Segoe UI Historic"/>
          <w:sz w:val="28"/>
          <w:szCs w:val="28"/>
          <w:shd w:val="clear" w:color="auto" w:fill="FFFFFF" w:themeFill="background1"/>
        </w:rPr>
        <w:t xml:space="preserve">Virginia Raquel </w:t>
      </w:r>
      <w:proofErr w:type="spellStart"/>
      <w:r>
        <w:rPr>
          <w:rFonts w:ascii="Segoe UI Historic" w:hAnsi="Segoe UI Historic" w:cs="Segoe UI Historic"/>
          <w:sz w:val="28"/>
          <w:szCs w:val="28"/>
          <w:shd w:val="clear" w:color="auto" w:fill="FFFFFF" w:themeFill="background1"/>
        </w:rPr>
        <w:t>Azcuy</w:t>
      </w:r>
      <w:proofErr w:type="spellEnd"/>
    </w:p>
    <w:p w:rsidR="00DA4652" w:rsidRDefault="00DA4652" w:rsidP="00DA4652">
      <w:pPr>
        <w:jc w:val="both"/>
        <w:rPr>
          <w:rFonts w:ascii="Segoe UI Historic" w:hAnsi="Segoe UI Historic" w:cs="Segoe UI Historic"/>
          <w:sz w:val="28"/>
          <w:szCs w:val="28"/>
          <w:shd w:val="clear" w:color="auto" w:fill="FFFFFF" w:themeFill="background1"/>
        </w:rPr>
      </w:pPr>
      <w:r w:rsidRPr="00DA4652">
        <w:rPr>
          <w:rFonts w:ascii="Segoe UI Historic" w:hAnsi="Segoe UI Historic" w:cs="Segoe UI Historic"/>
          <w:sz w:val="28"/>
          <w:szCs w:val="28"/>
          <w:shd w:val="clear" w:color="auto" w:fill="FFFFFF" w:themeFill="background1"/>
        </w:rPr>
        <w:br/>
      </w:r>
      <w:r w:rsidRPr="00DA4652">
        <w:rPr>
          <w:rFonts w:ascii="Segoe UI Historic" w:hAnsi="Segoe UI Historic" w:cs="Segoe UI Historic"/>
          <w:sz w:val="28"/>
          <w:szCs w:val="28"/>
          <w:shd w:val="clear" w:color="auto" w:fill="FFFFFF" w:themeFill="background1"/>
        </w:rPr>
        <w:br/>
        <w:t>Entre los interrogantes humanos y eco-sociales de nuestro tiempo se encuentra la importancia de redescubrir el valor del destino universal de los bienes. El uso y consumo de los bienes puede responder solo a intereses mercantilistas, hasta poner en juego el cuidado de la naturaleza y la vida de los seres humanos, o bien puede orientarse según pautas éticas, políticas y religiosas que buscan instalar otras lógicas posibles de convivencia humana y relación con la creación. Tal vez lo decisivo de estas cuestiones es darnos cuenta que nuestras actitudes cotidianas, personales y comunes, pueden hacer la diferencia. Así lo podemos meditar con ocasión del evangelio de este domingo, que nos presenta el caso de una viuda capaz de darlo todo.</w:t>
      </w:r>
      <w:r w:rsidRPr="00DA4652">
        <w:rPr>
          <w:rFonts w:ascii="Segoe UI Historic" w:hAnsi="Segoe UI Historic" w:cs="Segoe UI Historic"/>
          <w:sz w:val="28"/>
          <w:szCs w:val="28"/>
          <w:shd w:val="clear" w:color="auto" w:fill="FFFFFF" w:themeFill="background1"/>
        </w:rPr>
        <w:br/>
      </w:r>
      <w:r w:rsidRPr="00DA4652">
        <w:rPr>
          <w:rFonts w:ascii="Segoe UI Historic" w:hAnsi="Segoe UI Historic" w:cs="Segoe UI Historic"/>
          <w:sz w:val="28"/>
          <w:szCs w:val="28"/>
          <w:shd w:val="clear" w:color="auto" w:fill="FFFFFF" w:themeFill="background1"/>
        </w:rPr>
        <w:br/>
        <w:t xml:space="preserve">Ante todo, cabe recordar que la historia de esta mujer, una viuda pobre, propuesta al final del ministerio público de Jesús en el evangelio de Marcos (Mc 12,41-44), evoca a otras viudas de Israel como la viuda de Sarepta, cuya historia también leemos este domingo (1Re 17,8,16). Se trata de una vida familiar en riesgo, en una intersección de género y condiciones socioeconómicas y legales de ese tiempo muy desfavorable. En el caso de la viuda de Sarepta, señalada por Dios al profeta Elías para que pidiera su hospitalidad, la pobreza es extrema. Cuando Elías le pide de beber y comer, ella responde: “¡Por la vida del Señor, tu Dios! No tengo pan; solo me queda un puñado de harina en el jarro y un poco de aceite en la aceitera. Ya ves, estaba recogiendo cuatro astillas: voy a hacer un pan para mí y mi hijo, nos lo comeremos y luego moriremos” (1Re 17,12). Pero, luego, accede a dar de su pobreza, por la fe en la promesa que se le anuncia el profeta: “El cántaro de harina no se vaciará, la aceitera de aceite no se agotará, hasta el día en que el Señor envíe la lluvia sobre la tierra” (1Re 17,14). El resultado fue que, tanto Elías como la </w:t>
      </w:r>
      <w:r w:rsidRPr="00DA4652">
        <w:rPr>
          <w:rFonts w:ascii="Segoe UI Historic" w:hAnsi="Segoe UI Historic" w:cs="Segoe UI Historic"/>
          <w:sz w:val="28"/>
          <w:szCs w:val="28"/>
          <w:shd w:val="clear" w:color="auto" w:fill="FFFFFF" w:themeFill="background1"/>
        </w:rPr>
        <w:lastRenderedPageBreak/>
        <w:t xml:space="preserve">mujer viuda y su hijo, comieron y no se agotaron las provisiones (cf. </w:t>
      </w:r>
      <w:proofErr w:type="gramStart"/>
      <w:r w:rsidRPr="00DA4652">
        <w:rPr>
          <w:rFonts w:ascii="Segoe UI Historic" w:hAnsi="Segoe UI Historic" w:cs="Segoe UI Historic"/>
          <w:sz w:val="28"/>
          <w:szCs w:val="28"/>
          <w:shd w:val="clear" w:color="auto" w:fill="FFFFFF" w:themeFill="background1"/>
        </w:rPr>
        <w:t>Re 17,16</w:t>
      </w:r>
      <w:proofErr w:type="gramEnd"/>
      <w:r w:rsidRPr="00DA4652">
        <w:rPr>
          <w:rFonts w:ascii="Segoe UI Historic" w:hAnsi="Segoe UI Historic" w:cs="Segoe UI Historic"/>
          <w:sz w:val="28"/>
          <w:szCs w:val="28"/>
          <w:shd w:val="clear" w:color="auto" w:fill="FFFFFF" w:themeFill="background1"/>
        </w:rPr>
        <w:t>). En su indigencia, ella fue capaz de compartir los bienes de su sobrevivencia.</w:t>
      </w:r>
    </w:p>
    <w:p w:rsidR="00DA4652" w:rsidRDefault="00DA4652" w:rsidP="00DA4652">
      <w:pPr>
        <w:jc w:val="both"/>
        <w:rPr>
          <w:rFonts w:ascii="Segoe UI Historic" w:hAnsi="Segoe UI Historic" w:cs="Segoe UI Historic"/>
          <w:sz w:val="28"/>
          <w:szCs w:val="28"/>
          <w:shd w:val="clear" w:color="auto" w:fill="FFFFFF" w:themeFill="background1"/>
        </w:rPr>
      </w:pPr>
      <w:r w:rsidRPr="00DA4652">
        <w:rPr>
          <w:rFonts w:ascii="Segoe UI Historic" w:hAnsi="Segoe UI Historic" w:cs="Segoe UI Historic"/>
          <w:sz w:val="28"/>
          <w:szCs w:val="28"/>
          <w:shd w:val="clear" w:color="auto" w:fill="FFFFFF" w:themeFill="background1"/>
        </w:rPr>
        <w:br/>
        <w:t>En el evangelio de este domingo (Mc 12,38-44), el relato sobre la viuda (vv.41-44) está precedido por un episodio que tiene por protagonistas a un grupo de escribas y zelotas (vv.38-40) y ambas escenas presentan un claro contrapunto. Los escribas reciben una acusación de Jesús porque les gusta pasear con largas túnicas, sentarse en los primeros puestos y aprovechar los bienes de las viudas (cf. Mc 12,38-40). En contraste, observando las limosnas depositadas en el templo, Jesús destaca la acción de una mujer con escasos recursos que ofrece unas monedas de poco valor, en relación con la generosidad de muchas otras personas ricas: “les aseguro que esa pobre viuda ha dado más que todos los otros; porque todos han dado de lo que les sobra; pero esta, en su indigencia, ha dado cuanto tenía para vivir” (Mc 12,43-44). A diferencia de los escribas, que exponen la debilidad de sus signos, la entrega silenciosa de la viuda brilla por sí misma. Ella, una viuda pobre lo da todo y se cuenta entre las figuras que anticipan la entrega de Jesús en la pasión.</w:t>
      </w:r>
    </w:p>
    <w:p w:rsidR="002E2F5B" w:rsidRDefault="00DA4652" w:rsidP="00DA4652">
      <w:pPr>
        <w:shd w:val="clear" w:color="auto" w:fill="FFFFFF" w:themeFill="background1"/>
        <w:jc w:val="both"/>
        <w:rPr>
          <w:rFonts w:ascii="Segoe UI Historic" w:hAnsi="Segoe UI Historic" w:cs="Segoe UI Historic"/>
          <w:sz w:val="28"/>
          <w:szCs w:val="28"/>
          <w:shd w:val="clear" w:color="auto" w:fill="FFFFFF" w:themeFill="background1"/>
        </w:rPr>
      </w:pPr>
      <w:r w:rsidRPr="00DA4652">
        <w:rPr>
          <w:rFonts w:ascii="Segoe UI Historic" w:hAnsi="Segoe UI Historic" w:cs="Segoe UI Historic"/>
          <w:sz w:val="28"/>
          <w:szCs w:val="28"/>
          <w:shd w:val="clear" w:color="auto" w:fill="FFFFFF" w:themeFill="background1"/>
        </w:rPr>
        <w:br/>
        <w:t xml:space="preserve">¿Qué nos dejan estas lecturas para la meditación? Una primera pista que nos ofrecen los textos, si atendemos al prototipo de las dos viudas pobres, es mostrar que la situación de pobreza e indigencia puede ser </w:t>
      </w:r>
      <w:proofErr w:type="gramStart"/>
      <w:r w:rsidRPr="00DA4652">
        <w:rPr>
          <w:rFonts w:ascii="Segoe UI Historic" w:hAnsi="Segoe UI Historic" w:cs="Segoe UI Historic"/>
          <w:sz w:val="28"/>
          <w:szCs w:val="28"/>
          <w:shd w:val="clear" w:color="auto" w:fill="FFFFFF" w:themeFill="background1"/>
        </w:rPr>
        <w:t>un camino a recorrer</w:t>
      </w:r>
      <w:proofErr w:type="gramEnd"/>
      <w:r w:rsidRPr="00DA4652">
        <w:rPr>
          <w:rFonts w:ascii="Segoe UI Historic" w:hAnsi="Segoe UI Historic" w:cs="Segoe UI Historic"/>
          <w:sz w:val="28"/>
          <w:szCs w:val="28"/>
          <w:shd w:val="clear" w:color="auto" w:fill="FFFFFF" w:themeFill="background1"/>
        </w:rPr>
        <w:t xml:space="preserve"> desde la fe y la generosidad al compartir los bienes. Si bien ambas mujeres se podrían haber justificado para no dar lo que tenían, ellas eligieron darse una oportunidad, se sintieron en condiciones de dar, aunque lo que podían ofrecer era mínimo o insignificante. ¡Cuántas veces descartamos rápidamente a quienes tienen menos o nada, sin advertir que ellos/as se tienen a sí mismos/as y desde esa dignidad y conciencia pueden ser capaces de compartir! Otra pista de reflexión está en la condición sexo-genérica de las protagonistas: son mujeres viudas, vulnerables, que pertenecen a un grupo de riesgo, pero son valoradas por Jesús porque no retienen lo que poseen, no tienen puesta la mirada autocompasivamente sobre sí. ¿Qué podemos aprender de ellas?, ¿qué otras situaciones sexo-genéricas vulnerables podemos valorar en nuestro entorno y en nuestras comunidades? Finalmente, el evangelio de Jesús nos advierte sobre las tentaciones que acompañan el ejercicio del poder y el riesgo de utilizar la religión o la espiritualidad para manipular o aprovechar de personas débiles y vulnerables en beneficio propio. ¿Cómo podemos prevenir el abuso de poder?, ¿cómo podemos favorecer relaciones de respeto </w:t>
      </w:r>
      <w:r>
        <w:rPr>
          <w:rFonts w:ascii="Segoe UI Historic" w:hAnsi="Segoe UI Historic" w:cs="Segoe UI Historic"/>
          <w:sz w:val="28"/>
          <w:szCs w:val="28"/>
          <w:shd w:val="clear" w:color="auto" w:fill="FFFFFF" w:themeFill="background1"/>
        </w:rPr>
        <w:t xml:space="preserve"> y cuidado de los demás?</w:t>
      </w:r>
    </w:p>
    <w:p w:rsidR="00DA4652" w:rsidRPr="00DA4652" w:rsidRDefault="00DA4652" w:rsidP="00DA4652">
      <w:pPr>
        <w:shd w:val="clear" w:color="auto" w:fill="FFFFFF" w:themeFill="background1"/>
        <w:jc w:val="center"/>
        <w:rPr>
          <w:sz w:val="28"/>
          <w:szCs w:val="28"/>
        </w:rPr>
      </w:pPr>
      <w:r>
        <w:rPr>
          <w:noProof/>
          <w:sz w:val="28"/>
          <w:szCs w:val="28"/>
        </w:rPr>
        <w:drawing>
          <wp:inline distT="0" distB="0" distL="0" distR="0" wp14:anchorId="26F6984E">
            <wp:extent cx="3187700" cy="2341984"/>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3111" cy="2345959"/>
                    </a:xfrm>
                    <a:prstGeom prst="rect">
                      <a:avLst/>
                    </a:prstGeom>
                    <a:noFill/>
                  </pic:spPr>
                </pic:pic>
              </a:graphicData>
            </a:graphic>
          </wp:inline>
        </w:drawing>
      </w:r>
    </w:p>
    <w:sectPr w:rsidR="00DA4652" w:rsidRPr="00DA46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52"/>
    <w:rsid w:val="002E2F5B"/>
    <w:rsid w:val="00DA46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C486"/>
  <w15:chartTrackingRefBased/>
  <w15:docId w15:val="{C19E9BCE-EAAF-4BC5-892B-2EAB3DBE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3901</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2021-11-09T13:50:00Z</dcterms:created>
  <dcterms:modified xsi:type="dcterms:W3CDTF">2021-11-09T13:52:00Z</dcterms:modified>
</cp:coreProperties>
</file>