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ECF4" w14:textId="3826805F" w:rsidR="002B171F" w:rsidRPr="002B171F" w:rsidRDefault="002B171F" w:rsidP="002B171F">
      <w:pPr>
        <w:spacing w:after="225" w:line="240" w:lineRule="auto"/>
        <w:jc w:val="both"/>
        <w:outlineLvl w:val="0"/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</w:pPr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>E</w:t>
      </w:r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 xml:space="preserve">ducar: a </w:t>
      </w:r>
      <w:proofErr w:type="spellStart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>Ação</w:t>
      </w:r>
      <w:proofErr w:type="spellEnd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 xml:space="preserve"> da Igreja e o </w:t>
      </w:r>
      <w:proofErr w:type="spellStart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>seu</w:t>
      </w:r>
      <w:proofErr w:type="spellEnd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 xml:space="preserve"> </w:t>
      </w:r>
      <w:proofErr w:type="spellStart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>Agir</w:t>
      </w:r>
      <w:proofErr w:type="spellEnd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 xml:space="preserve"> </w:t>
      </w:r>
      <w:proofErr w:type="spellStart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>num</w:t>
      </w:r>
      <w:proofErr w:type="spellEnd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 xml:space="preserve"> Mundo de Analfabetos </w:t>
      </w:r>
      <w:proofErr w:type="spellStart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>Funcionais</w:t>
      </w:r>
      <w:proofErr w:type="spellEnd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 xml:space="preserve"> em </w:t>
      </w:r>
      <w:proofErr w:type="spellStart"/>
      <w:r w:rsidRPr="002B171F">
        <w:rPr>
          <w:rFonts w:ascii="Noto Sans" w:eastAsia="Times New Roman" w:hAnsi="Noto Sans" w:cs="Times New Roman"/>
          <w:b/>
          <w:bCs/>
          <w:kern w:val="36"/>
          <w:sz w:val="52"/>
          <w:szCs w:val="52"/>
          <w:lang w:val="es-UY" w:eastAsia="es-UY"/>
        </w:rPr>
        <w:t>Compaixão</w:t>
      </w:r>
      <w:proofErr w:type="spellEnd"/>
    </w:p>
    <w:p w14:paraId="2E9D76EA" w14:textId="77777777" w:rsidR="002B171F" w:rsidRPr="002B171F" w:rsidRDefault="002B171F" w:rsidP="002B171F">
      <w:pPr>
        <w:spacing w:after="0" w:line="240" w:lineRule="auto"/>
        <w:jc w:val="right"/>
        <w:outlineLvl w:val="2"/>
        <w:rPr>
          <w:rFonts w:ascii="Noto Sans" w:eastAsia="Times New Roman" w:hAnsi="Noto Sans" w:cs="Times New Roman"/>
          <w:b/>
          <w:bCs/>
          <w:color w:val="2C2F34"/>
          <w:sz w:val="28"/>
          <w:szCs w:val="28"/>
          <w:lang w:val="es-UY" w:eastAsia="es-UY"/>
        </w:rPr>
      </w:pPr>
      <w:r w:rsidRPr="002B171F">
        <w:rPr>
          <w:rFonts w:ascii="Noto Sans" w:eastAsia="Times New Roman" w:hAnsi="Noto Sans" w:cs="Times New Roman"/>
          <w:b/>
          <w:bCs/>
          <w:i/>
          <w:iCs/>
          <w:color w:val="2C2F34"/>
          <w:sz w:val="28"/>
          <w:szCs w:val="28"/>
          <w:bdr w:val="none" w:sz="0" w:space="0" w:color="auto" w:frame="1"/>
          <w:lang w:val="es-UY" w:eastAsia="es-UY"/>
        </w:rPr>
        <w:t>Por João Santiago.</w:t>
      </w:r>
    </w:p>
    <w:p w14:paraId="69E7CC11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necessidades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será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possível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falarmos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amor,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liberdade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libertação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utopia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reconhecimento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sentido,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vêm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após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ano,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cristão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sobretudo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católico, durante este último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século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embora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real,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teimosa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irreverente,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subaproveitada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subentendida e, grosso modo, podemos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desperdiçada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Igreja institucional clericalizada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vive de costas para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sofrimento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Embora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“permita”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pernoite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indigente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soleiras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templos, desde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atrapalhe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ritualismo esterilizante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alucinante que faz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às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dóceis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à estética, e indiferentes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ética.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reconhecimento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chega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mesmo até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soleiras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É paradoxal e de difícil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compreensão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situação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7C8C98F1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Explico-me.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Conferência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Nacional do Bispos do Brasil – CNBB (1952) -, é,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talvez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expressão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perspectiva teológico-profética da Igreja no Brasil.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pouco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(1964) e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talvez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irmã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velha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Eu, particularmente,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prefiro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vê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-la como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sintonia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rebeldia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cercada de causas legítimas, a CNBB se une à tantas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meninas que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própria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precoces.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precoce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revelaria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liga a Igreja, esposa de Cristo, à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Nazaré,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Deus e da Igreja. É a CNBB em forma de colegiado,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pensa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CF,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define os temas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Evangelizadora e o faz como Igreja.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CNBB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paga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preço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profético por esta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ousadia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Ofensas,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ameaças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todo tipo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violências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vindas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que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néolinguismo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pagão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chama de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cidadãos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”.</w:t>
      </w:r>
    </w:p>
    <w:p w14:paraId="38D43D8D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2022,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vez, é a grande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Igreja. Educar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mundo. E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 xml:space="preserve">importante é que,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embora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exigência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mesmo tempo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aprender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Religiões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toda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Igreja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começar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aprender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mesma. Aprender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própria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história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acervo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extraordinário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Seu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Social, guardado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parece-nos, escondido, à sete chaves.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como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apelo,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clamor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faz parte das narrativas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o apelo à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é,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primeiro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lugar, para a Igreja,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aqui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vista como o clero, como em Puebla, o mesmo vale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Trago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aqui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conceito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Frei Carmelita Carlos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Mesters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Conversa Grande! O clero precisa ser reeducado no sentido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“infantilizar”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tratá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-lo como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incapaz, inapto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índole, ignorante. Reeducar o clero para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serviço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primeiro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sabe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tarefas,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atividades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braçais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obedecer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cumprir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ordens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Embora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grande parte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dele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sinta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saiba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414A288F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O Texto Base da CF-2022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conduz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diálogo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feito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escutas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falantes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nós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mesmos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mundo; como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visita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reconhecimento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algumas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produções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exemplares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mudança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mentalidade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competitiva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dominante;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reconhecermos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tantas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bonitezas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caminhada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  Aprender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novas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perguntas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antigas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perguntas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embora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antigas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exigem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novas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respostas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Fechar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até pode nos impedir de ver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verdadeiros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problemas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tempo, mas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resolve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professor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Agenor Brighenti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vez,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importante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abrangente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pesquisa que nos será de extrema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utilidade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últimas décadas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irrompido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catolicismo brasileiro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dele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perfil de presbíteros, denominados “padres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novos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que,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pastorais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comportamentos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têm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promovido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esfera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experiência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religiosa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deslocamento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profético para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terapêutico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do ético para o estético”. (BRIGHENTI, 2021).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implicações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consequências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deslocamento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todos os cantos.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Tendes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vedes?” (Mc 8,18). E quero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ele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fruto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específica.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espécie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cristianismo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profecia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ética?</w:t>
      </w:r>
    </w:p>
    <w:p w14:paraId="5502C3B9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Gosto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imaginar a Igreja como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desejou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Papa João XXIII,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Mestra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Precisamos retomar esta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ideia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Igreja.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este ano. “Trata-se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doutrina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 Católica e Apostólica,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mestra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todas as gentes, cuja luz ilumina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abrasa, cuja voz,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cheia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celestial,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pertence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todos os tempos, cuja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virtude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oferece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sempre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remédios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eficazes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suscetíveis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trazerem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soluções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crescentes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necessidades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homens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angústias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aflições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vida” (MM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nº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256).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Teologia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Pastoral precisa ser readmitida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Igreja, como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Teologia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educa para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serviço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integral.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comunhão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sinodalidade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Teologia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reeducará a Igreja para ser discípula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Palavra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escuta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gemidos da vida; para discernir antes de tomar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decisões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Mestra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existe, mas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existir.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Encontra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-se refugiada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Egito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aí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661B7EE0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orientação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importante que se faz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exigência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grita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espreita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olharmos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o Texto Base da CF-2022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simplesmente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mas,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olharmos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através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dele e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lentes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multifocais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para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possibilidades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oportunidades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superação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contradições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paradoxos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comprimem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contra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pregado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cruz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naturalizado a cruz como forma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resignação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castigo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indolente e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pouca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santíssimo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resumido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inclinar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piedosamente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pescoço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 revirar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levando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delírio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coletivo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Reeducar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aprender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partir da cruz, a partir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cruz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querer ver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Olhar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partir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buscar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ressurreição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mora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lado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Ato de Amor,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aliás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ensinaram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Paulo Freire, Álvaro Vieira Pinto, Dom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Hélder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Câmara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Desmond Tutu e Malala Yousafzai,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levar a querer ver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frente.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acordo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Papa Francisco,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sintomas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enferma,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procura construir-se de costas para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sofrimento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”. (FT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nº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65).</w:t>
      </w:r>
    </w:p>
    <w:p w14:paraId="47DF3C14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escolhas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sucedem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multiplicam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nós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podemos nos iludir,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aceitar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poderemos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escolher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entre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ser fraterno, Educar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ser egoísta. Educar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o egoísmo. A segunda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possibilidade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existe, é real,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falta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É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Vejam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educar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que significa?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transformadora. Que muda o paradigma; que muda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mentalidade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que muda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atitude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muda o mundo.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Vejam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Deus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pergunta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você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cientista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é pastor, padre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bispo,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é teólogo.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acolhe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retorno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pergunta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somos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cientistas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teólogos, religiosos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héteros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 </w:t>
      </w:r>
    </w:p>
    <w:p w14:paraId="5A10A9E6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 CF-2022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trouxe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revermos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conceito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Sobretudo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atualizarmos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métodos 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didática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Vamos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conversar sobre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Sobre investimento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Diocese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Arquidiocese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Província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investem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ano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Ah, mas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difícil! Eu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sei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Paróquia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investe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ano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bíblica, teológica, ecológica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saúde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Ah, mas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difícil! Eu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sei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Paróquia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investe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ano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lideranças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pastorais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Coordenadores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catequistas, líderes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comunitários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ministros;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próprios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assessores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tipo de investimento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mesmo de incentivo eles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recebem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Somos a Igreja,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somos da Igreja? Será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estamos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vivendo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Pré-Concílio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Vaticano II em que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educado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missas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através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sermões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sabe anterior à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Rerum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Novarum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Onde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educados 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Só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que conste, “Se,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interesses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gerais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interesse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classe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particular,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encontram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lesados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simplesmente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ameaçados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possível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remediar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prevenir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modo,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indispensável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recorrer à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autoridade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pública”. (RN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nº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21). 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deverá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recorrer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?</w:t>
      </w:r>
    </w:p>
    <w:p w14:paraId="4C52C634" w14:textId="77777777" w:rsidR="002B171F" w:rsidRPr="002B171F" w:rsidRDefault="002B171F" w:rsidP="002B171F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“Educar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ato eminentemente humano”,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Texto Base da CF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ano.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segue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“A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Bíblia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mostra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história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Deus que educa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caminhando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ele,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compreendendo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fragilidades,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respeitando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etapas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alertando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erros”.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Vamos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pensar sobre estes verbos? </w:t>
      </w:r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Educar, </w:t>
      </w:r>
      <w:proofErr w:type="spellStart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caminhar</w:t>
      </w:r>
      <w:proofErr w:type="spellEnd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compreender</w:t>
      </w:r>
      <w:proofErr w:type="spellEnd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respeitar</w:t>
      </w:r>
      <w:proofErr w:type="spellEnd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, alertar.</w:t>
      </w: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Nós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podemos perder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rever os Textos Bases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trataram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(1982 e 1998).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Vejam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Texto Base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ano, “O mundo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tempo precisa encontrar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caminhos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reconstruir,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ouvindo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clamores 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vulneráveis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casa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cada vez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vulnerabilizada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”. (TB, CF-2022, p.1).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como Igreja,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Deus,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tantas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demonstrações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indiferença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de falta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sobretudo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ecológica, ambiental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tantas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intolerâncias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materializam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forma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violência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O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o Padre que celebra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principais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feitos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paróquia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corte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árvores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atrapalhavam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vista da Igreja, 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transeuntes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dos motoristas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passam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É preciso mudar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mentalidade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tacanha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atrapalhando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estrada?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estrada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atrapalha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corta o parque?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chegou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primeiro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árvore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prédio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Igreja? </w:t>
      </w:r>
    </w:p>
    <w:p w14:paraId="1E8A9714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Voltemos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ideia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rica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bonita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A Igreja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Educadora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Mas vamos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refletir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os fundamentos do ato de educar!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Vamos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alargar os horizontes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pensamentos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mudar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mentalidade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colonialista 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Evangelhos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só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cabe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perspectiva imperialista de cristianismo, em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iluminados dentro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roupas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espetaculosas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sentados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tronos,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ameaçadoras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falsamente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adocicadas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podem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decidem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que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melhor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maiorias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ignorantes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natureza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apenas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úteis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obedecer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aceitar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Precisamos como,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Concílio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Vaticano II, “Facilitar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Juízo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Igreja”.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revelada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difundida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chegar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seremos Igreja.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sentido, a Igreja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verdadeiramente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– é bonito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dizê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–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vida em Cristo e que nos faz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viver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todos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irmãos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comunhão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Espírito Santo”. (FRANCISCO, 2015, p.65). Eu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prefiro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exemplo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CNBB e do Papa Francisco, e felizmente de Dom José Peruzzo,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ficar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aqueles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preferiu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ficar.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fracos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…</w:t>
      </w:r>
    </w:p>
    <w:p w14:paraId="45D29A1B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movimentos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reacionários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costumam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intolerantes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violentos,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apenas no interior da Igreja. Acontece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toda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entanto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movimentos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reacionários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violentos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nefastos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perigosos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até porque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têm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dinheiro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estrutura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apoio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coisas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pastorais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 a CF,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exemplo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têm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grande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entrave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grupos adeptos do pietismo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ativo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embora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neguem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política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digam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apolíticos,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financiados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indiretamente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grupos corruptos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católicos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infiltrados em todas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paróquias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portadores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melhores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entre as “boas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intenções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papel dos “escribas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fariseus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hipócritas,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trancam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entrada do Reino,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entram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deixam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entrar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nele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desejariam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”. (cf. Mt 23,13). É difícil,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frequentemente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impossível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iniciar-se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curso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bíblica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teológica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paróquias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porque eles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deixam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jamais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expõem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jamais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aparecem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entram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confronto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ninguém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têm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diálogo.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conseguem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destrabalho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sozinhos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surdina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geralmente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padre faz para eles,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ótimos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bajuladores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padre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repetidas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política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coisa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Deus, mas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coisa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diabo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serviço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próprio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diabo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está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discurso? Como educar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amor, negando a política,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melhor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demonizando-a?   </w:t>
      </w:r>
    </w:p>
    <w:p w14:paraId="3B6ECE5B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fala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Amor, precisará ser precedida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exorcismo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necessário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“Por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continuidade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obra salvífica, Cristo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discípulos poder sobre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demônios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(Mc 10,1; Mc 6,7;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Lc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9,1), e eles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ordenavam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demônio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deixasse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nome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(Mc 7,22; 9,38-39)”. (CNBB, doc. 9, p. 30).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maldição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abateu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trouxe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cruéis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desgraças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através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mentiras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maquiadas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Fake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News,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ninguém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sabia o que era; sustentadas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negacionismo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ativista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demoníaco;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voz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vez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legião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analfabetos teológicos, alienados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diabo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todos os lugares, menos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aonde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ele realmente estar. Inclusive,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ás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dentro deles mesmos. </w:t>
      </w:r>
    </w:p>
    <w:p w14:paraId="24EF5D04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gente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fez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grupos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oração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terços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novenas, cercos de Jericó, e sabe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Deus o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dentro da Igreja,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nome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Deus,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pátria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família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perguntas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fala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Amor,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é: que Deus?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pátria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família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sentido, precisamos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à luz o legado de Educadores como João Batista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Libânio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define a Igreja e a pastoral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amor. “Pastoral é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 no mundo.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Definição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clara.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primeiro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momento parece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disse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três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termos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fundamentais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excelem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nitidez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conceitual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Igreja –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Mundo. Entretanto, parando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pouquinho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pergunto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-me: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Igreja?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tipo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agir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E que mundo?” (LIBANIO, 1982, p. 11).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Vamos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nós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pouquinho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antes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começar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próxima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quê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“Permanece,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batalha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contra o poder das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trevas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atravessa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toda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história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Inserido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nessa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ser humano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combater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constantemente,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fiel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”. (CNBB, doc. 9, p. 37). </w:t>
      </w:r>
    </w:p>
    <w:p w14:paraId="0DD021C5" w14:textId="77777777" w:rsidR="002B171F" w:rsidRPr="002B171F" w:rsidRDefault="002B171F" w:rsidP="002B171F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Campanhas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cada vez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importantes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necessárias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Você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está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este texto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acesso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chamados, onde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você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esteja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venha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juntar-se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nós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Juntos, juntas somos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A gente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vai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precisar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porque,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tempos de negacionismo,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Fake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News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duros golpes contra a Igreja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Deus,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Democracia,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Humanos e a Vida,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narrada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Jesus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através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Mateus,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mantêm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atualizada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 “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vos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envio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ovelhas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lobos; sede,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astutos como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serpentes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simples como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pombas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”. (Mt 10,16). Trago-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lhes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palavra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salavação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frente à estas realidades. “O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Senhor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deixou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claro que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santidade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pode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compreender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viver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prescindindo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exigências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porque “</w:t>
      </w:r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 </w:t>
      </w:r>
      <w:proofErr w:type="spellStart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misericórdia</w:t>
      </w:r>
      <w:proofErr w:type="spellEnd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o</w:t>
      </w: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coração</w:t>
      </w:r>
      <w:proofErr w:type="spellEnd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pulsante do </w:t>
      </w:r>
      <w:proofErr w:type="spellStart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Evangelho</w:t>
      </w:r>
      <w:proofErr w:type="spellEnd"/>
      <w:r w:rsidRPr="002B171F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””.</w:t>
      </w: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(GE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nº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97). </w:t>
      </w:r>
    </w:p>
    <w:p w14:paraId="04AC48B4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itinerário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se faz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apenas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necessário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urgente acontecer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clero que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faça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sentir-se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passível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conversão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reconheça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-se como seres inconclusos e inacabados como todo mundo; iniciar-se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processo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educativo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investimento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financeiro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decente,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metodologia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apropriada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diretrizes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objetivos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cristãs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apresentação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duas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irmãs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desconhecidas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Igreja: a democracia 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comunhão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resgatar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dignidade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batismo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o primado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Palavra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desenvolver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projeto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inteligente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apropriado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jovens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adolescentes, para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crianças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valer o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salmo do Padre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Zezinho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“Somos a Igreja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repartido 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abraço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da paz”.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absolutamente convencido de que, se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aprendem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ser fundamentalistas, deterministas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proselitistas,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podem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aprender a ser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cristãs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ato de amor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aprender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condição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humana. Se a Igreja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elaborar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projeto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amar 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misericordiosos, 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inimigo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estratégia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aliás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dando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certo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Retomo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aqui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salmos do Padre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Zezinho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“Eu,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porém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batizado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vou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ficar calado”. </w:t>
      </w:r>
    </w:p>
    <w:p w14:paraId="606DD577" w14:textId="77777777" w:rsidR="002B171F" w:rsidRPr="002B171F" w:rsidRDefault="002B171F" w:rsidP="002B171F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educar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solidariedade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para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liberdade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significa romper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algumas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barreiras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intransponíveis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ambientes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eclesiais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Por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exemplo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romper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barreira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clericalismo que faz do clero o único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meio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informação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formação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como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coisas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acontecem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automaticamente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urge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atualização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teológica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pastoral do clero que o retire do conveniente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espaço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coach,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fazendo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coaching religioso e 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areia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movediça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estético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lhe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reconduza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às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rodas de conversa,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círculos bíblicos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às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periferias, geográficas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existenciais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oportunidade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reconhecermos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tanta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 vida nos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traz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como Paulo Freire, à moda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grega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retomarmos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Paidéia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Esta é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grega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tinha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objetivo formar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humano completo, integral, cuidando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múltiplos aspectos. Formar seres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sábios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saudáveis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capazes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autogovernar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governar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impactando positivamente a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vive.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ato de amor, como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diria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Paulo Freire, se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dá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mutirão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homens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as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mulheres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educados </w:t>
      </w:r>
      <w:proofErr w:type="gram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educadas em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comunhão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entre eles e </w:t>
      </w:r>
      <w:proofErr w:type="spellStart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mundo.</w:t>
      </w:r>
    </w:p>
    <w:p w14:paraId="70A31948" w14:textId="77777777" w:rsidR="002B171F" w:rsidRPr="002B171F" w:rsidRDefault="002B171F" w:rsidP="002B171F">
      <w:pPr>
        <w:spacing w:after="0" w:line="390" w:lineRule="atLeast"/>
        <w:jc w:val="right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João Ferreira Santiago é </w:t>
      </w:r>
      <w:proofErr w:type="spellStart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coordenador</w:t>
      </w:r>
      <w:proofErr w:type="spellEnd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Curso de </w:t>
      </w:r>
      <w:proofErr w:type="spellStart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Teologia</w:t>
      </w:r>
      <w:proofErr w:type="spellEnd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Faculdade</w:t>
      </w:r>
      <w:proofErr w:type="spellEnd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Unina</w:t>
      </w:r>
      <w:proofErr w:type="spellEnd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,</w:t>
      </w:r>
      <w:r w:rsidRPr="002B171F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br/>
      </w:r>
      <w:proofErr w:type="spellStart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Doutorando</w:t>
      </w:r>
      <w:proofErr w:type="spellEnd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</w:t>
      </w:r>
      <w:proofErr w:type="spellStart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Teologia</w:t>
      </w:r>
      <w:proofErr w:type="spellEnd"/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pela PUC-PR.</w:t>
      </w:r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br/>
      </w:r>
      <w:hyperlink r:id="rId4" w:history="1">
        <w:r w:rsidRPr="002B171F">
          <w:rPr>
            <w:rFonts w:ascii="Nunito" w:eastAsia="Times New Roman" w:hAnsi="Nunito" w:cs="Times New Roman"/>
            <w:i/>
            <w:iCs/>
            <w:color w:val="E74C09"/>
            <w:sz w:val="23"/>
            <w:szCs w:val="23"/>
            <w:u w:val="single"/>
            <w:bdr w:val="none" w:sz="0" w:space="0" w:color="auto" w:frame="1"/>
            <w:lang w:val="es-UY" w:eastAsia="es-UY"/>
          </w:rPr>
          <w:t>Joao.ferreira@unina.edu.br</w:t>
        </w:r>
      </w:hyperlink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2B171F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br/>
        <w:t>(41) 99865-7349 – WhatsApp</w:t>
      </w:r>
    </w:p>
    <w:p w14:paraId="7BFC55A1" w14:textId="53EBD4AB" w:rsidR="002E2F5B" w:rsidRDefault="002B171F">
      <w:hyperlink r:id="rId5" w:history="1">
        <w:r w:rsidRPr="00DD16E3">
          <w:rPr>
            <w:rStyle w:val="Hipervnculo"/>
          </w:rPr>
          <w:t>https://portaldascebs.org.br/educar-a-acao-da-igreja-e-o-seu-agir-num-mundo-de-analfabetos-funcionais-em-compaixao/?fbclid=IwAR3kkvDrYV4-l9v6PI_gAaBvYf6upaaa2aXwznvgrlyW9uBDvLj09cA8GQY</w:t>
        </w:r>
      </w:hyperlink>
    </w:p>
    <w:p w14:paraId="082022A9" w14:textId="77777777" w:rsidR="002B171F" w:rsidRDefault="002B171F"/>
    <w:sectPr w:rsidR="002B1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1F"/>
    <w:rsid w:val="002B171F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5D92"/>
  <w15:chartTrackingRefBased/>
  <w15:docId w15:val="{528EBD5F-2ADD-47A3-AE79-978D3ACE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7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2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25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dascebs.org.br/educar-a-acao-da-igreja-e-o-seu-agir-num-mundo-de-analfabetos-funcionais-em-compaixao/?fbclid=IwAR3kkvDrYV4-l9v6PI_gAaBvYf6upaaa2aXwznvgrlyW9uBDvLj09cA8GQY" TargetMode="External"/><Relationship Id="rId4" Type="http://schemas.openxmlformats.org/officeDocument/2006/relationships/hyperlink" Target="mailto:Joao.ferreira@unina.edu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2818</Words>
  <Characters>15502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2022-02-09T11:46:00Z</dcterms:created>
  <dcterms:modified xsi:type="dcterms:W3CDTF">2022-02-09T11:48:00Z</dcterms:modified>
</cp:coreProperties>
</file>