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8594" w14:textId="77777777" w:rsidR="006F6846" w:rsidRPr="00CD48E0" w:rsidRDefault="006F6846" w:rsidP="006F6846">
      <w:pPr>
        <w:shd w:val="clear" w:color="auto" w:fill="FFFFFF"/>
        <w:spacing w:after="375" w:line="435" w:lineRule="atLeast"/>
        <w:jc w:val="both"/>
        <w:outlineLvl w:val="0"/>
        <w:rPr>
          <w:rFonts w:ascii="Arvo" w:eastAsia="Times New Roman" w:hAnsi="Arvo" w:cs="Open Sans"/>
          <w:b/>
          <w:bCs/>
          <w:color w:val="C00000"/>
          <w:kern w:val="36"/>
          <w:sz w:val="36"/>
          <w:szCs w:val="36"/>
          <w:lang w:eastAsia="es-MX"/>
        </w:rPr>
      </w:pPr>
      <w:r w:rsidRPr="00CD48E0">
        <w:rPr>
          <w:rFonts w:ascii="Arvo" w:eastAsia="Times New Roman" w:hAnsi="Arvo" w:cs="Open Sans"/>
          <w:b/>
          <w:bCs/>
          <w:color w:val="C00000"/>
          <w:kern w:val="36"/>
          <w:sz w:val="36"/>
          <w:szCs w:val="36"/>
          <w:lang w:eastAsia="es-MX"/>
        </w:rPr>
        <w:t>Lo que Tamar sugiere: volver a pensar los modelos de mujer</w:t>
      </w:r>
    </w:p>
    <w:p w14:paraId="47BD3C6E" w14:textId="77777777" w:rsidR="006F6846" w:rsidRPr="006F6846" w:rsidRDefault="006F6846" w:rsidP="006F6846">
      <w:pPr>
        <w:shd w:val="clear" w:color="auto" w:fill="FFFFFF"/>
        <w:spacing w:after="0" w:line="240" w:lineRule="auto"/>
        <w:jc w:val="both"/>
        <w:rPr>
          <w:rFonts w:ascii="Arvo" w:eastAsia="Times New Roman" w:hAnsi="Arvo" w:cs="Open Sans"/>
          <w:color w:val="000000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noProof/>
          <w:color w:val="000000"/>
          <w:sz w:val="24"/>
          <w:szCs w:val="24"/>
          <w:lang w:eastAsia="es-MX"/>
        </w:rPr>
        <w:drawing>
          <wp:inline distT="0" distB="0" distL="0" distR="0" wp14:anchorId="39F2EC50" wp14:editId="3760887D">
            <wp:extent cx="5574821" cy="3133725"/>
            <wp:effectExtent l="0" t="0" r="6985" b="0"/>
            <wp:docPr id="2" name="Imagen 2" descr="Lo que Tamar sugiere: volver a pensar los modelos d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 que Tamar sugiere: volver a pensar los modelos de muj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01" cy="313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4349B" w14:textId="77777777" w:rsidR="00DF2D9D" w:rsidRDefault="006F6846" w:rsidP="00DF2D9D">
      <w:pPr>
        <w:shd w:val="clear" w:color="auto" w:fill="FFFFFF"/>
        <w:spacing w:line="240" w:lineRule="auto"/>
        <w:jc w:val="center"/>
        <w:rPr>
          <w:rFonts w:ascii="Cambria" w:eastAsia="Times New Roman" w:hAnsi="Cambria" w:cs="Cambria"/>
          <w:color w:val="000000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>Lo que Tamar sugiere: volver a pensar los modelos de mujer</w:t>
      </w:r>
    </w:p>
    <w:p w14:paraId="1F2306B0" w14:textId="77777777" w:rsidR="006F6846" w:rsidRPr="006F6846" w:rsidRDefault="006F6846" w:rsidP="00DF2D9D">
      <w:pPr>
        <w:shd w:val="clear" w:color="auto" w:fill="FFFFFF"/>
        <w:spacing w:line="240" w:lineRule="auto"/>
        <w:jc w:val="center"/>
        <w:rPr>
          <w:rFonts w:ascii="Arvo" w:eastAsia="Times New Roman" w:hAnsi="Arvo" w:cs="Open Sans"/>
          <w:color w:val="000000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8C8C8C"/>
          <w:sz w:val="24"/>
          <w:szCs w:val="24"/>
          <w:lang w:eastAsia="es-MX"/>
        </w:rPr>
        <w:t>Silvia Martínez Cano</w:t>
      </w:r>
    </w:p>
    <w:p w14:paraId="1DC44264" w14:textId="77777777" w:rsidR="006F6846" w:rsidRPr="006F6846" w:rsidRDefault="006F6846" w:rsidP="006F6846">
      <w:pPr>
        <w:shd w:val="clear" w:color="auto" w:fill="FFFFFF"/>
        <w:spacing w:after="150" w:line="240" w:lineRule="auto"/>
        <w:jc w:val="both"/>
        <w:rPr>
          <w:rFonts w:ascii="Arvo" w:eastAsia="Times New Roman" w:hAnsi="Arvo" w:cs="Open Sans"/>
          <w:b/>
          <w:bCs/>
          <w:i/>
          <w:iCs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b/>
          <w:bCs/>
          <w:i/>
          <w:iCs/>
          <w:color w:val="333333"/>
          <w:sz w:val="24"/>
          <w:szCs w:val="24"/>
          <w:lang w:eastAsia="es-MX"/>
        </w:rPr>
        <w:t>6.02.2022</w:t>
      </w:r>
      <w:r w:rsidRPr="006F6846">
        <w:rPr>
          <w:rFonts w:ascii="Cambria" w:eastAsia="Times New Roman" w:hAnsi="Cambria" w:cs="Cambria"/>
          <w:b/>
          <w:bCs/>
          <w:i/>
          <w:iCs/>
          <w:color w:val="333333"/>
          <w:sz w:val="24"/>
          <w:szCs w:val="24"/>
          <w:lang w:eastAsia="es-MX"/>
        </w:rPr>
        <w:t> </w:t>
      </w:r>
      <w:r w:rsidRPr="006F6846">
        <w:rPr>
          <w:rFonts w:ascii="Arvo" w:eastAsia="Times New Roman" w:hAnsi="Arvo" w:cs="Open Sans"/>
          <w:b/>
          <w:bCs/>
          <w:i/>
          <w:iCs/>
          <w:color w:val="333333"/>
          <w:sz w:val="24"/>
          <w:szCs w:val="24"/>
          <w:lang w:eastAsia="es-MX"/>
        </w:rPr>
        <w:t xml:space="preserve">| por </w:t>
      </w:r>
      <w:proofErr w:type="spellStart"/>
      <w:r w:rsidRPr="006F6846">
        <w:rPr>
          <w:rFonts w:ascii="Arvo" w:eastAsia="Times New Roman" w:hAnsi="Arvo" w:cs="Open Sans"/>
          <w:b/>
          <w:bCs/>
          <w:i/>
          <w:iCs/>
          <w:color w:val="333333"/>
          <w:sz w:val="24"/>
          <w:szCs w:val="24"/>
          <w:lang w:eastAsia="es-MX"/>
        </w:rPr>
        <w:t>Junkal</w:t>
      </w:r>
      <w:proofErr w:type="spellEnd"/>
      <w:r w:rsidRPr="006F6846">
        <w:rPr>
          <w:rFonts w:ascii="Arvo" w:eastAsia="Times New Roman" w:hAnsi="Arvo" w:cs="Open Sans"/>
          <w:b/>
          <w:bCs/>
          <w:i/>
          <w:iCs/>
          <w:color w:val="333333"/>
          <w:sz w:val="24"/>
          <w:szCs w:val="24"/>
          <w:lang w:eastAsia="es-MX"/>
        </w:rPr>
        <w:t xml:space="preserve"> Guevara</w:t>
      </w:r>
    </w:p>
    <w:p w14:paraId="0D33AF80" w14:textId="77777777" w:rsidR="006F6846" w:rsidRPr="006F6846" w:rsidRDefault="006F6846" w:rsidP="006F6846">
      <w:pPr>
        <w:shd w:val="clear" w:color="auto" w:fill="FFFFFF"/>
        <w:spacing w:after="0" w:line="240" w:lineRule="auto"/>
        <w:jc w:val="both"/>
        <w:rPr>
          <w:rFonts w:ascii="Arvo" w:eastAsia="Times New Roman" w:hAnsi="Arvo" w:cs="Open Sans"/>
          <w:color w:val="000000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>¿Conoces la historia bíblica de Tamar?</w:t>
      </w:r>
      <w:r w:rsidRPr="006F6846">
        <w:rPr>
          <w:rFonts w:ascii="Cambria" w:eastAsia="Times New Roman" w:hAnsi="Cambria" w:cs="Cambria"/>
          <w:color w:val="000000"/>
          <w:sz w:val="24"/>
          <w:szCs w:val="24"/>
          <w:lang w:eastAsia="es-MX"/>
        </w:rPr>
        <w:t> </w:t>
      </w:r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>La historia de Tamar, la nuera de Jud</w:t>
      </w:r>
      <w:r w:rsidRPr="006F6846">
        <w:rPr>
          <w:rFonts w:ascii="Arvo" w:eastAsia="Times New Roman" w:hAnsi="Arvo" w:cs="Arvo"/>
          <w:color w:val="000000"/>
          <w:sz w:val="24"/>
          <w:szCs w:val="24"/>
          <w:lang w:eastAsia="es-MX"/>
        </w:rPr>
        <w:t>á</w:t>
      </w:r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 xml:space="preserve">, en </w:t>
      </w:r>
      <w:proofErr w:type="spellStart"/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>Gn</w:t>
      </w:r>
      <w:proofErr w:type="spellEnd"/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 xml:space="preserve"> 38 hereda de la teolog</w:t>
      </w:r>
      <w:r w:rsidRPr="006F6846">
        <w:rPr>
          <w:rFonts w:ascii="Arvo" w:eastAsia="Times New Roman" w:hAnsi="Arvo" w:cs="Arvo"/>
          <w:color w:val="000000"/>
          <w:sz w:val="24"/>
          <w:szCs w:val="24"/>
          <w:lang w:eastAsia="es-MX"/>
        </w:rPr>
        <w:t>í</w:t>
      </w:r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>a m</w:t>
      </w:r>
      <w:r w:rsidRPr="006F6846">
        <w:rPr>
          <w:rFonts w:ascii="Arvo" w:eastAsia="Times New Roman" w:hAnsi="Arvo" w:cs="Arvo"/>
          <w:color w:val="000000"/>
          <w:sz w:val="24"/>
          <w:szCs w:val="24"/>
          <w:lang w:eastAsia="es-MX"/>
        </w:rPr>
        <w:t>á</w:t>
      </w:r>
      <w:r w:rsidRPr="006F6846">
        <w:rPr>
          <w:rFonts w:ascii="Arvo" w:eastAsia="Times New Roman" w:hAnsi="Arvo" w:cs="Open Sans"/>
          <w:color w:val="000000"/>
          <w:sz w:val="24"/>
          <w:szCs w:val="24"/>
          <w:lang w:eastAsia="es-MX"/>
        </w:rPr>
        <w:t>s subversiva de la biblia claves sugerentes para tejer una crítica firme y desafiante contra tres elementos fundamentales de la identidad del pueblo de Israel del que los patriarcas son fundadores: la primogenitura, la ejemplaridad de los jefes de familia y la prevención contra el extranjero.</w:t>
      </w:r>
    </w:p>
    <w:p w14:paraId="12E08BAF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Tamar es una de estas mujeres que tienen el privilegio de la palabra, de manera que parece imprescindible detenerse a examinar cómo usa esa palabra, pero también, qué calla o no dice, o que podemos interpretar de lo que hace o de las oportunidades aprovecha.</w:t>
      </w:r>
    </w:p>
    <w:p w14:paraId="4B5B654E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Así, nuestra protagonista reivindica a las mujeres que pierden la palabra y son silenciadas por la violencia que se ejerce contra sus cuerpos y las obliga a huir de su entorno social y a refugiarse con falsas identidades en hogares</w:t>
      </w:r>
      <w:r w:rsidRPr="006F6846">
        <w:rPr>
          <w:rFonts w:ascii="Cambria" w:eastAsia="Times New Roman" w:hAnsi="Cambria" w:cs="Cambria"/>
          <w:color w:val="333333"/>
          <w:sz w:val="24"/>
          <w:szCs w:val="24"/>
          <w:lang w:eastAsia="es-MX"/>
        </w:rPr>
        <w:t> </w:t>
      </w:r>
      <w:r w:rsidRPr="006F6846">
        <w:rPr>
          <w:rFonts w:ascii="Arvo" w:eastAsia="Times New Roman" w:hAnsi="Arvo" w:cs="Open Sans"/>
          <w:i/>
          <w:iCs/>
          <w:color w:val="474747"/>
          <w:sz w:val="24"/>
          <w:szCs w:val="24"/>
          <w:lang w:eastAsia="es-MX"/>
        </w:rPr>
        <w:t>temporales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, casas</w:t>
      </w:r>
      <w:r w:rsidRPr="006F6846">
        <w:rPr>
          <w:rFonts w:ascii="Cambria" w:eastAsia="Times New Roman" w:hAnsi="Cambria" w:cs="Cambria"/>
          <w:color w:val="333333"/>
          <w:sz w:val="24"/>
          <w:szCs w:val="24"/>
          <w:lang w:eastAsia="es-MX"/>
        </w:rPr>
        <w:t> </w:t>
      </w:r>
      <w:r w:rsidRPr="006F6846">
        <w:rPr>
          <w:rFonts w:ascii="Arvo" w:eastAsia="Times New Roman" w:hAnsi="Arvo" w:cs="Open Sans"/>
          <w:i/>
          <w:iCs/>
          <w:color w:val="474747"/>
          <w:sz w:val="24"/>
          <w:szCs w:val="24"/>
          <w:lang w:eastAsia="es-MX"/>
        </w:rPr>
        <w:t xml:space="preserve">de </w:t>
      </w:r>
      <w:proofErr w:type="spellStart"/>
      <w:r w:rsidRPr="006F6846">
        <w:rPr>
          <w:rFonts w:ascii="Arvo" w:eastAsia="Times New Roman" w:hAnsi="Arvo" w:cs="Open Sans"/>
          <w:i/>
          <w:iCs/>
          <w:color w:val="474747"/>
          <w:sz w:val="24"/>
          <w:szCs w:val="24"/>
          <w:lang w:eastAsia="es-MX"/>
        </w:rPr>
        <w:t>acogiday</w:t>
      </w:r>
      <w:proofErr w:type="spellEnd"/>
      <w:r w:rsidRPr="006F6846">
        <w:rPr>
          <w:rFonts w:ascii="Arvo" w:eastAsia="Times New Roman" w:hAnsi="Arvo" w:cs="Open Sans"/>
          <w:i/>
          <w:iCs/>
          <w:color w:val="474747"/>
          <w:sz w:val="24"/>
          <w:szCs w:val="24"/>
          <w:lang w:eastAsia="es-MX"/>
        </w:rPr>
        <w:t xml:space="preserve"> refugio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; en todo caso, espacios que hablan de lo que se ha negado a esas mujeres: estabilidad, amor y seguridad.</w:t>
      </w:r>
    </w:p>
    <w:p w14:paraId="0C4A4C0A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 xml:space="preserve">Tamar nos obliga a pensar en la “mujer fatal” que, sin duda, es muchas veces un mero estereotipo de género; la mujer fuerte, la que desafía los límites impuestos por los hombres; la que parece tener un poder letal sobre ellos. Y nos obliga a pensar porque la fuerza de la 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lastRenderedPageBreak/>
        <w:t>mujer que se esconde tras el velo radica sólo en su sexualidad. En este sentido es una llamada a determinadas imágenes de mujer, todavía hoy, en el ámbito de lo público que no hacen sino potenciar la sexualidad como “arma de mujer”, y que justifican las agresiones contra el cuerpo de la mujer precisamente por la condición de amenaza que éste constituye para la sexualidad de los hombres.</w:t>
      </w:r>
    </w:p>
    <w:p w14:paraId="1953C1ED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Además, la historia de Tamar nos puede ayudar a reconsiderar el fenómeno de la seducción.</w:t>
      </w:r>
    </w:p>
    <w:p w14:paraId="3D434D9B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Si nos atenemos al sentido etimológico,</w:t>
      </w:r>
      <w:r w:rsidRPr="006F6846">
        <w:rPr>
          <w:rFonts w:ascii="Cambria" w:eastAsia="Times New Roman" w:hAnsi="Cambria" w:cs="Cambria"/>
          <w:color w:val="333333"/>
          <w:sz w:val="24"/>
          <w:szCs w:val="24"/>
          <w:lang w:eastAsia="es-MX"/>
        </w:rPr>
        <w:t> </w:t>
      </w:r>
      <w:proofErr w:type="spellStart"/>
      <w:r w:rsidRPr="006F6846">
        <w:rPr>
          <w:rFonts w:ascii="Arvo" w:eastAsia="Times New Roman" w:hAnsi="Arvo" w:cs="Open Sans"/>
          <w:i/>
          <w:iCs/>
          <w:color w:val="474747"/>
          <w:sz w:val="24"/>
          <w:szCs w:val="24"/>
          <w:lang w:eastAsia="es-MX"/>
        </w:rPr>
        <w:t>seducere</w:t>
      </w:r>
      <w:proofErr w:type="spellEnd"/>
      <w:r w:rsidRPr="006F6846">
        <w:rPr>
          <w:rFonts w:ascii="Cambria" w:eastAsia="Times New Roman" w:hAnsi="Cambria" w:cs="Cambria"/>
          <w:color w:val="333333"/>
          <w:sz w:val="24"/>
          <w:szCs w:val="24"/>
          <w:lang w:eastAsia="es-MX"/>
        </w:rPr>
        <w:t> 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sugiere conducir a otra parte; invitar a ir m</w:t>
      </w:r>
      <w:r w:rsidRPr="006F6846">
        <w:rPr>
          <w:rFonts w:ascii="Arvo" w:eastAsia="Times New Roman" w:hAnsi="Arvo" w:cs="Arvo"/>
          <w:color w:val="333333"/>
          <w:sz w:val="24"/>
          <w:szCs w:val="24"/>
          <w:lang w:eastAsia="es-MX"/>
        </w:rPr>
        <w:t>á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s all</w:t>
      </w:r>
      <w:r w:rsidRPr="006F6846">
        <w:rPr>
          <w:rFonts w:ascii="Arvo" w:eastAsia="Times New Roman" w:hAnsi="Arvo" w:cs="Arvo"/>
          <w:color w:val="333333"/>
          <w:sz w:val="24"/>
          <w:szCs w:val="24"/>
          <w:lang w:eastAsia="es-MX"/>
        </w:rPr>
        <w:t>á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; atreverse a descubrir novedades. Sin embargo, historias como la de Tamar y Judá muestran una versión de la seducción que la pervierte, que reduce y empobrece sus posibilidades.</w:t>
      </w:r>
    </w:p>
    <w:p w14:paraId="5A05091A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En primer lugar, refuerza los roles de género que atribuyen a quien seduce, el varón generalmente, el ejercicio de la fuerza –en cualquiera de sus modalidades- para conseguir llevar al otro/a donde no quiere ir; y a quien es seducido, la mujer normalmente, a resistirse a no ser que quiera aceptar ser juzgada de “fácil”.</w:t>
      </w:r>
    </w:p>
    <w:p w14:paraId="0E3B0377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Además, convierte el consentimiento en un arma de defensa y no en un ejercicio de libertad, aceptación, comunión en la búsqueda y la aventura.</w:t>
      </w:r>
    </w:p>
    <w:p w14:paraId="0900979E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Por último, Tamar es, también, una invitación a que las mujeres nos preguntemos si es posible que, en nuestros días, la maternidad sea la clave fundamental a partir de la cual definirnos. Si un deseo casi desesperado de maternidad es el único camino para justificarnos ante nosotras mismas y en la sociedad.</w:t>
      </w:r>
    </w:p>
    <w:p w14:paraId="76C54264" w14:textId="77777777" w:rsidR="006F6846" w:rsidRPr="006F6846" w:rsidRDefault="006F6846" w:rsidP="006F6846">
      <w:pPr>
        <w:shd w:val="clear" w:color="auto" w:fill="FFFFFF"/>
        <w:spacing w:after="465" w:line="300" w:lineRule="atLeast"/>
        <w:jc w:val="both"/>
        <w:rPr>
          <w:rFonts w:ascii="Arvo" w:eastAsia="Times New Roman" w:hAnsi="Arvo" w:cs="Open Sans"/>
          <w:color w:val="333333"/>
          <w:sz w:val="24"/>
          <w:szCs w:val="24"/>
          <w:lang w:eastAsia="es-MX"/>
        </w:rPr>
      </w:pP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 xml:space="preserve">Lee este texto en el libro de </w:t>
      </w:r>
      <w:proofErr w:type="spellStart"/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Junkal</w:t>
      </w:r>
      <w:proofErr w:type="spellEnd"/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 xml:space="preserve"> Guevara "Tamar" que puedes encontrar en</w:t>
      </w:r>
      <w:r w:rsidRPr="006F6846">
        <w:rPr>
          <w:rFonts w:ascii="Cambria" w:eastAsia="Times New Roman" w:hAnsi="Cambria" w:cs="Cambria"/>
          <w:color w:val="333333"/>
          <w:sz w:val="24"/>
          <w:szCs w:val="24"/>
          <w:lang w:eastAsia="es-MX"/>
        </w:rPr>
        <w:t> </w:t>
      </w:r>
      <w:hyperlink r:id="rId6" w:history="1">
        <w:r w:rsidRPr="006F6846">
          <w:rPr>
            <w:rFonts w:ascii="Arvo" w:eastAsia="Times New Roman" w:hAnsi="Arvo" w:cs="Open Sans"/>
            <w:color w:val="D49400"/>
            <w:sz w:val="24"/>
            <w:szCs w:val="24"/>
            <w:u w:val="single"/>
            <w:lang w:eastAsia="es-MX"/>
          </w:rPr>
          <w:t>https://libreria.sanpablo.es/libro/tamar_221011</w:t>
        </w:r>
      </w:hyperlink>
      <w:r w:rsidRPr="006F6846">
        <w:rPr>
          <w:rFonts w:ascii="Cambria" w:eastAsia="Times New Roman" w:hAnsi="Cambria" w:cs="Cambria"/>
          <w:color w:val="333333"/>
          <w:sz w:val="24"/>
          <w:szCs w:val="24"/>
          <w:lang w:eastAsia="es-MX"/>
        </w:rPr>
        <w:t> 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y aprende m</w:t>
      </w:r>
      <w:r w:rsidRPr="006F6846">
        <w:rPr>
          <w:rFonts w:ascii="Arvo" w:eastAsia="Times New Roman" w:hAnsi="Arvo" w:cs="Arvo"/>
          <w:color w:val="333333"/>
          <w:sz w:val="24"/>
          <w:szCs w:val="24"/>
          <w:lang w:eastAsia="es-MX"/>
        </w:rPr>
        <w:t>á</w:t>
      </w:r>
      <w:r w:rsidRPr="006F6846">
        <w:rPr>
          <w:rFonts w:ascii="Arvo" w:eastAsia="Times New Roman" w:hAnsi="Arvo" w:cs="Open Sans"/>
          <w:color w:val="333333"/>
          <w:sz w:val="24"/>
          <w:szCs w:val="24"/>
          <w:lang w:eastAsia="es-MX"/>
        </w:rPr>
        <w:t>s sobre Tamar. La autora nos hace un recorrido por el Genesis 38 y actualiza esta historia en otras Tamar de nuestra historia reciente y contemporánea.</w:t>
      </w:r>
    </w:p>
    <w:p w14:paraId="0890E6CD" w14:textId="77777777" w:rsidR="00280C20" w:rsidRPr="006F6846" w:rsidRDefault="00280C20" w:rsidP="006F6846">
      <w:pPr>
        <w:jc w:val="both"/>
        <w:rPr>
          <w:rFonts w:ascii="Arvo" w:hAnsi="Arvo"/>
          <w:sz w:val="24"/>
          <w:szCs w:val="24"/>
        </w:rPr>
      </w:pPr>
    </w:p>
    <w:sectPr w:rsidR="00280C20" w:rsidRPr="006F68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6CAC"/>
    <w:multiLevelType w:val="multilevel"/>
    <w:tmpl w:val="AD3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46"/>
    <w:rsid w:val="00280C20"/>
    <w:rsid w:val="006F6846"/>
    <w:rsid w:val="00CD48E0"/>
    <w:rsid w:val="00CF6124"/>
    <w:rsid w:val="00D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F071"/>
  <w15:chartTrackingRefBased/>
  <w15:docId w15:val="{4D21E7C3-4330-4220-8406-829F5528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F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84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F684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6846"/>
    <w:rPr>
      <w:color w:val="0000FF"/>
      <w:u w:val="single"/>
    </w:rPr>
  </w:style>
  <w:style w:type="paragraph" w:customStyle="1" w:styleId="pg-bkn-dateline">
    <w:name w:val="pg-bkn-dateline"/>
    <w:basedOn w:val="Normal"/>
    <w:rsid w:val="006F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ce">
    <w:name w:val="mce"/>
    <w:basedOn w:val="Normal"/>
    <w:rsid w:val="006F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13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178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439">
                          <w:marLeft w:val="3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eria.sanpablo.es/libro/tamar_221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</dc:creator>
  <cp:keywords/>
  <dc:description/>
  <cp:lastModifiedBy>Rosario Hermano</cp:lastModifiedBy>
  <cp:revision>3</cp:revision>
  <dcterms:created xsi:type="dcterms:W3CDTF">2022-02-14T10:48:00Z</dcterms:created>
  <dcterms:modified xsi:type="dcterms:W3CDTF">2022-02-14T10:48:00Z</dcterms:modified>
</cp:coreProperties>
</file>