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6543" w:rsidRDefault="00816543" w:rsidP="00816543">
      <w:pPr>
        <w:pStyle w:val="NormalWeb"/>
        <w:shd w:val="clear" w:color="auto" w:fill="FFFFFF"/>
        <w:spacing w:after="360" w:afterAutospacing="0"/>
        <w:jc w:val="both"/>
        <w:rPr>
          <w:rFonts w:ascii="Georgia" w:hAnsi="Georgia" w:cs="Arial"/>
          <w:color w:val="202124"/>
          <w:shd w:val="clear" w:color="auto" w:fill="FFFFFF"/>
        </w:rPr>
      </w:pPr>
      <w:r>
        <w:rPr>
          <w:rFonts w:ascii="Georgia" w:hAnsi="Georgia" w:cs="Arial"/>
          <w:b/>
          <w:color w:val="202124"/>
          <w:shd w:val="clear" w:color="auto" w:fill="FFFFFF"/>
        </w:rPr>
        <w:t>UNA EXPORTACIÓN POR LA QUE EL ESTADO DE CHILE NO RECIBE PAGO ALGUNO.</w:t>
      </w:r>
      <w:r>
        <w:rPr>
          <w:rFonts w:ascii="Georgia" w:hAnsi="Georgia" w:cs="Arial"/>
          <w:color w:val="202124"/>
          <w:shd w:val="clear" w:color="auto" w:fill="FFFFFF"/>
        </w:rPr>
        <w:t xml:space="preserve"> Héctor Vega</w:t>
      </w:r>
    </w:p>
    <w:p w:rsidR="006857A0" w:rsidRDefault="006857A0" w:rsidP="006857A0">
      <w:pPr>
        <w:pStyle w:val="NormalWeb"/>
        <w:shd w:val="clear" w:color="auto" w:fill="FFFFFF"/>
        <w:spacing w:after="360" w:afterAutospacing="0"/>
        <w:jc w:val="both"/>
        <w:rPr>
          <w:rFonts w:ascii="Georgia" w:hAnsi="Georgia" w:cs="Arial"/>
          <w:color w:val="202124"/>
          <w:shd w:val="clear" w:color="auto" w:fill="FFFFFF"/>
        </w:rPr>
      </w:pPr>
      <w:r w:rsidRPr="00590794">
        <w:rPr>
          <w:rFonts w:ascii="Georgia" w:hAnsi="Georgia" w:cs="Arial"/>
          <w:color w:val="202124"/>
          <w:shd w:val="clear" w:color="auto" w:fill="FFFFFF"/>
        </w:rPr>
        <w:t>En Chile la producción y export</w:t>
      </w:r>
      <w:r>
        <w:rPr>
          <w:rFonts w:ascii="Georgia" w:hAnsi="Georgia" w:cs="Arial"/>
          <w:color w:val="202124"/>
          <w:shd w:val="clear" w:color="auto" w:fill="FFFFFF"/>
        </w:rPr>
        <w:t>a</w:t>
      </w:r>
      <w:r w:rsidRPr="00590794">
        <w:rPr>
          <w:rFonts w:ascii="Georgia" w:hAnsi="Georgia" w:cs="Arial"/>
          <w:color w:val="202124"/>
          <w:shd w:val="clear" w:color="auto" w:fill="FFFFFF"/>
        </w:rPr>
        <w:t xml:space="preserve">ción se </w:t>
      </w:r>
      <w:r w:rsidR="001555B6">
        <w:rPr>
          <w:rFonts w:ascii="Georgia" w:hAnsi="Georgia" w:cs="Arial"/>
          <w:color w:val="202124"/>
          <w:shd w:val="clear" w:color="auto" w:fill="FFFFFF"/>
        </w:rPr>
        <w:t>realiza</w:t>
      </w:r>
      <w:r w:rsidRPr="00590794">
        <w:rPr>
          <w:rFonts w:ascii="Georgia" w:hAnsi="Georgia" w:cs="Arial"/>
          <w:color w:val="202124"/>
          <w:shd w:val="clear" w:color="auto" w:fill="FFFFFF"/>
        </w:rPr>
        <w:t xml:space="preserve"> cada vez más en concentr</w:t>
      </w:r>
      <w:r>
        <w:rPr>
          <w:rFonts w:ascii="Georgia" w:hAnsi="Georgia" w:cs="Arial"/>
          <w:color w:val="202124"/>
          <w:shd w:val="clear" w:color="auto" w:fill="FFFFFF"/>
        </w:rPr>
        <w:t xml:space="preserve">ado de cobre </w:t>
      </w:r>
      <w:r w:rsidRPr="00590794">
        <w:rPr>
          <w:rFonts w:ascii="Georgia" w:hAnsi="Georgia" w:cs="Arial"/>
          <w:color w:val="202124"/>
          <w:shd w:val="clear" w:color="auto" w:fill="FFFFFF"/>
        </w:rPr>
        <w:t xml:space="preserve">material que contiene aproximadamente un 30% </w:t>
      </w:r>
      <w:r w:rsidRPr="004B1C8B">
        <w:rPr>
          <w:rFonts w:ascii="Georgia" w:hAnsi="Georgia" w:cs="Arial"/>
          <w:color w:val="202124"/>
          <w:shd w:val="clear" w:color="auto" w:fill="FFFFFF"/>
        </w:rPr>
        <w:t xml:space="preserve">de </w:t>
      </w:r>
      <w:r w:rsidRPr="004B1C8B">
        <w:rPr>
          <w:rFonts w:ascii="Georgia" w:hAnsi="Georgia" w:cs="Arial"/>
          <w:bCs/>
          <w:color w:val="202124"/>
          <w:shd w:val="clear" w:color="auto" w:fill="FFFFFF"/>
        </w:rPr>
        <w:t>mineral</w:t>
      </w:r>
      <w:r w:rsidRPr="004B1C8B">
        <w:rPr>
          <w:rFonts w:ascii="Georgia" w:hAnsi="Georgia" w:cs="Arial"/>
          <w:color w:val="202124"/>
          <w:shd w:val="clear" w:color="auto" w:fill="FFFFFF"/>
        </w:rPr>
        <w:t xml:space="preserve"> de </w:t>
      </w:r>
      <w:r w:rsidRPr="004B1C8B">
        <w:rPr>
          <w:rFonts w:ascii="Georgia" w:hAnsi="Georgia" w:cs="Arial"/>
          <w:bCs/>
          <w:color w:val="202124"/>
          <w:shd w:val="clear" w:color="auto" w:fill="FFFFFF"/>
        </w:rPr>
        <w:t>cobre</w:t>
      </w:r>
      <w:r w:rsidRPr="00590794">
        <w:rPr>
          <w:rFonts w:ascii="Georgia" w:hAnsi="Georgia" w:cs="Arial"/>
          <w:color w:val="202124"/>
          <w:shd w:val="clear" w:color="auto" w:fill="FFFFFF"/>
        </w:rPr>
        <w:t xml:space="preserve">, siendo el resto 70% escoria y otros subproductos. </w:t>
      </w:r>
      <w:r>
        <w:rPr>
          <w:rFonts w:ascii="Georgia" w:hAnsi="Georgia"/>
          <w:lang w:val="es-MX"/>
        </w:rPr>
        <w:t xml:space="preserve">Ahora bien, los informes señalan que las reservas mineralógicas de óxidos de cobre, de alta ley, se tratan mediante procesos hidrometalúrgicos (lixiviación, concentración y purificación), sin embargo, por razones de contaminación ambiental y económicas, aún cuando la ley sea baja – minerales oxidados y sulfurados de 0,25 a 0,40% de cobre – se adopta un procedimiento hidrometalúrgico pues es más competitivo. La alternativa es el beneficio de minerales sulfurados que requieren procesos pirometalúrgicos altamente contaminantes. </w:t>
      </w:r>
      <w:r w:rsidRPr="00590794">
        <w:rPr>
          <w:rFonts w:ascii="Georgia" w:hAnsi="Georgia" w:cs="Arial"/>
          <w:color w:val="202124"/>
          <w:shd w:val="clear" w:color="auto" w:fill="FFFFFF"/>
        </w:rPr>
        <w:t>El</w:t>
      </w:r>
      <w:r>
        <w:rPr>
          <w:rFonts w:ascii="Georgia" w:hAnsi="Georgia" w:cs="Arial"/>
          <w:color w:val="202124"/>
          <w:shd w:val="clear" w:color="auto" w:fill="FFFFFF"/>
        </w:rPr>
        <w:t xml:space="preserve"> </w:t>
      </w:r>
      <w:r w:rsidRPr="004B1C8B">
        <w:rPr>
          <w:rFonts w:ascii="Georgia" w:hAnsi="Georgia" w:cs="Arial"/>
          <w:bCs/>
          <w:color w:val="202124"/>
          <w:shd w:val="clear" w:color="auto" w:fill="FFFFFF"/>
        </w:rPr>
        <w:t>concentrado de cobre</w:t>
      </w:r>
      <w:r>
        <w:rPr>
          <w:rFonts w:ascii="Georgia" w:hAnsi="Georgia" w:cs="Arial"/>
          <w:color w:val="202124"/>
          <w:shd w:val="clear" w:color="auto" w:fill="FFFFFF"/>
        </w:rPr>
        <w:t xml:space="preserve"> </w:t>
      </w:r>
      <w:r w:rsidRPr="00590794">
        <w:rPr>
          <w:rFonts w:ascii="Georgia" w:hAnsi="Georgia" w:cs="Arial"/>
          <w:color w:val="202124"/>
          <w:shd w:val="clear" w:color="auto" w:fill="FFFFFF"/>
        </w:rPr>
        <w:t>seco</w:t>
      </w:r>
      <w:r>
        <w:rPr>
          <w:rFonts w:ascii="Georgia" w:hAnsi="Georgia" w:cs="Arial"/>
          <w:color w:val="202124"/>
          <w:shd w:val="clear" w:color="auto" w:fill="FFFFFF"/>
        </w:rPr>
        <w:t xml:space="preserve"> </w:t>
      </w:r>
      <w:r w:rsidRPr="004B1C8B">
        <w:rPr>
          <w:rFonts w:ascii="Georgia" w:hAnsi="Georgia" w:cs="Arial"/>
          <w:bCs/>
          <w:color w:val="202124"/>
          <w:shd w:val="clear" w:color="auto" w:fill="FFFFFF"/>
        </w:rPr>
        <w:t>se</w:t>
      </w:r>
      <w:r>
        <w:rPr>
          <w:rFonts w:ascii="Georgia" w:hAnsi="Georgia" w:cs="Arial"/>
          <w:color w:val="202124"/>
          <w:shd w:val="clear" w:color="auto" w:fill="FFFFFF"/>
        </w:rPr>
        <w:t xml:space="preserve"> </w:t>
      </w:r>
      <w:r w:rsidRPr="00590794">
        <w:rPr>
          <w:rFonts w:ascii="Georgia" w:hAnsi="Georgia" w:cs="Arial"/>
          <w:color w:val="202124"/>
          <w:shd w:val="clear" w:color="auto" w:fill="FFFFFF"/>
        </w:rPr>
        <w:t>funde a altas temperaturas donde</w:t>
      </w:r>
      <w:r>
        <w:rPr>
          <w:rFonts w:ascii="Georgia" w:hAnsi="Georgia" w:cs="Arial"/>
          <w:color w:val="202124"/>
          <w:shd w:val="clear" w:color="auto" w:fill="FFFFFF"/>
        </w:rPr>
        <w:t xml:space="preserve"> </w:t>
      </w:r>
      <w:r w:rsidRPr="004B1C8B">
        <w:rPr>
          <w:rFonts w:ascii="Georgia" w:hAnsi="Georgia" w:cs="Arial"/>
          <w:bCs/>
          <w:color w:val="202124"/>
          <w:shd w:val="clear" w:color="auto" w:fill="FFFFFF"/>
        </w:rPr>
        <w:t>se</w:t>
      </w:r>
      <w:r>
        <w:rPr>
          <w:rFonts w:ascii="Georgia" w:hAnsi="Georgia" w:cs="Arial"/>
          <w:color w:val="202124"/>
          <w:shd w:val="clear" w:color="auto" w:fill="FFFFFF"/>
        </w:rPr>
        <w:t xml:space="preserve"> </w:t>
      </w:r>
      <w:r w:rsidRPr="00590794">
        <w:rPr>
          <w:rFonts w:ascii="Georgia" w:hAnsi="Georgia" w:cs="Arial"/>
          <w:color w:val="202124"/>
          <w:shd w:val="clear" w:color="auto" w:fill="FFFFFF"/>
        </w:rPr>
        <w:t>separa el</w:t>
      </w:r>
      <w:r>
        <w:rPr>
          <w:rFonts w:ascii="Georgia" w:hAnsi="Georgia" w:cs="Arial"/>
          <w:color w:val="202124"/>
          <w:shd w:val="clear" w:color="auto" w:fill="FFFFFF"/>
        </w:rPr>
        <w:t xml:space="preserve"> </w:t>
      </w:r>
      <w:r w:rsidRPr="004B1C8B">
        <w:rPr>
          <w:rFonts w:ascii="Georgia" w:hAnsi="Georgia" w:cs="Arial"/>
          <w:bCs/>
          <w:color w:val="202124"/>
          <w:shd w:val="clear" w:color="auto" w:fill="FFFFFF"/>
        </w:rPr>
        <w:t>cobre</w:t>
      </w:r>
      <w:r>
        <w:rPr>
          <w:rFonts w:ascii="Georgia" w:hAnsi="Georgia" w:cs="Arial"/>
          <w:b/>
          <w:bCs/>
          <w:color w:val="202124"/>
          <w:shd w:val="clear" w:color="auto" w:fill="FFFFFF"/>
        </w:rPr>
        <w:t xml:space="preserve"> </w:t>
      </w:r>
      <w:r w:rsidRPr="00590794">
        <w:rPr>
          <w:rFonts w:ascii="Georgia" w:hAnsi="Georgia" w:cs="Arial"/>
          <w:color w:val="202124"/>
          <w:shd w:val="clear" w:color="auto" w:fill="FFFFFF"/>
        </w:rPr>
        <w:t>de otros minerales e impurezas.</w:t>
      </w:r>
      <w:r>
        <w:rPr>
          <w:rFonts w:ascii="Georgia" w:hAnsi="Georgia" w:cs="Arial"/>
          <w:color w:val="202124"/>
          <w:shd w:val="clear" w:color="auto" w:fill="FFFFFF"/>
        </w:rPr>
        <w:t xml:space="preserve"> </w:t>
      </w:r>
      <w:r w:rsidRPr="004B1C8B">
        <w:rPr>
          <w:rFonts w:ascii="Georgia" w:hAnsi="Georgia" w:cs="Arial"/>
          <w:bCs/>
          <w:color w:val="202124"/>
          <w:shd w:val="clear" w:color="auto" w:fill="FFFFFF"/>
        </w:rPr>
        <w:t>Se</w:t>
      </w:r>
      <w:r>
        <w:rPr>
          <w:rFonts w:ascii="Georgia" w:hAnsi="Georgia" w:cs="Arial"/>
          <w:color w:val="202124"/>
          <w:shd w:val="clear" w:color="auto" w:fill="FFFFFF"/>
        </w:rPr>
        <w:t xml:space="preserve"> </w:t>
      </w:r>
      <w:r w:rsidRPr="00590794">
        <w:rPr>
          <w:rFonts w:ascii="Georgia" w:hAnsi="Georgia" w:cs="Arial"/>
          <w:color w:val="202124"/>
          <w:shd w:val="clear" w:color="auto" w:fill="FFFFFF"/>
        </w:rPr>
        <w:t>obtiene</w:t>
      </w:r>
      <w:r>
        <w:rPr>
          <w:rFonts w:ascii="Georgia" w:hAnsi="Georgia" w:cs="Arial"/>
          <w:color w:val="202124"/>
          <w:shd w:val="clear" w:color="auto" w:fill="FFFFFF"/>
        </w:rPr>
        <w:t xml:space="preserve"> </w:t>
      </w:r>
      <w:r w:rsidRPr="004B1C8B">
        <w:rPr>
          <w:rFonts w:ascii="Georgia" w:hAnsi="Georgia" w:cs="Arial"/>
          <w:bCs/>
          <w:color w:val="202124"/>
          <w:shd w:val="clear" w:color="auto" w:fill="FFFFFF"/>
        </w:rPr>
        <w:t xml:space="preserve">cobre </w:t>
      </w:r>
      <w:r w:rsidRPr="00590794">
        <w:rPr>
          <w:rFonts w:ascii="Georgia" w:hAnsi="Georgia" w:cs="Arial"/>
          <w:color w:val="202124"/>
          <w:shd w:val="clear" w:color="auto" w:fill="FFFFFF"/>
        </w:rPr>
        <w:t>refinado, el</w:t>
      </w:r>
      <w:r>
        <w:rPr>
          <w:rFonts w:ascii="Georgia" w:hAnsi="Georgia" w:cs="Arial"/>
          <w:color w:val="202124"/>
          <w:shd w:val="clear" w:color="auto" w:fill="FFFFFF"/>
        </w:rPr>
        <w:t xml:space="preserve"> </w:t>
      </w:r>
      <w:r w:rsidRPr="004B1C8B">
        <w:rPr>
          <w:rFonts w:ascii="Georgia" w:hAnsi="Georgia" w:cs="Arial"/>
          <w:bCs/>
          <w:color w:val="202124"/>
          <w:shd w:val="clear" w:color="auto" w:fill="FFFFFF"/>
        </w:rPr>
        <w:t>que</w:t>
      </w:r>
      <w:r>
        <w:rPr>
          <w:rFonts w:ascii="Georgia" w:hAnsi="Georgia" w:cs="Arial"/>
          <w:color w:val="202124"/>
          <w:shd w:val="clear" w:color="auto" w:fill="FFFFFF"/>
        </w:rPr>
        <w:t xml:space="preserve"> </w:t>
      </w:r>
      <w:r w:rsidRPr="00590794">
        <w:rPr>
          <w:rFonts w:ascii="Georgia" w:hAnsi="Georgia" w:cs="Arial"/>
          <w:color w:val="202124"/>
          <w:shd w:val="clear" w:color="auto" w:fill="FFFFFF"/>
        </w:rPr>
        <w:t>es moldeado en placas llamadas ánodos. En las celdas de flotación</w:t>
      </w:r>
      <w:r>
        <w:rPr>
          <w:rFonts w:ascii="Georgia" w:hAnsi="Georgia" w:cs="Arial"/>
          <w:color w:val="202124"/>
          <w:shd w:val="clear" w:color="auto" w:fill="FFFFFF"/>
        </w:rPr>
        <w:t xml:space="preserve"> </w:t>
      </w:r>
      <w:r w:rsidRPr="004B1C8B">
        <w:rPr>
          <w:rFonts w:ascii="Georgia" w:hAnsi="Georgia" w:cs="Arial"/>
          <w:bCs/>
          <w:color w:val="202124"/>
          <w:shd w:val="clear" w:color="auto" w:fill="FFFFFF"/>
        </w:rPr>
        <w:t>se</w:t>
      </w:r>
      <w:r>
        <w:rPr>
          <w:rFonts w:ascii="Georgia" w:hAnsi="Georgia" w:cs="Arial"/>
          <w:color w:val="202124"/>
          <w:shd w:val="clear" w:color="auto" w:fill="FFFFFF"/>
        </w:rPr>
        <w:t xml:space="preserve"> </w:t>
      </w:r>
      <w:r w:rsidRPr="00590794">
        <w:rPr>
          <w:rFonts w:ascii="Georgia" w:hAnsi="Georgia" w:cs="Arial"/>
          <w:color w:val="202124"/>
          <w:shd w:val="clear" w:color="auto" w:fill="FFFFFF"/>
        </w:rPr>
        <w:t>genera espuma cuyas burbujas atrapan sulfuros de</w:t>
      </w:r>
      <w:r>
        <w:rPr>
          <w:rFonts w:ascii="Georgia" w:hAnsi="Georgia" w:cs="Arial"/>
          <w:color w:val="202124"/>
          <w:shd w:val="clear" w:color="auto" w:fill="FFFFFF"/>
        </w:rPr>
        <w:t xml:space="preserve"> </w:t>
      </w:r>
      <w:r w:rsidRPr="004B1C8B">
        <w:rPr>
          <w:rFonts w:ascii="Georgia" w:hAnsi="Georgia" w:cs="Arial"/>
          <w:bCs/>
          <w:color w:val="202124"/>
          <w:shd w:val="clear" w:color="auto" w:fill="FFFFFF"/>
        </w:rPr>
        <w:t>cobre</w:t>
      </w:r>
      <w:r w:rsidRPr="004B1C8B">
        <w:rPr>
          <w:rFonts w:ascii="Georgia" w:hAnsi="Georgia" w:cs="Arial"/>
          <w:color w:val="202124"/>
          <w:shd w:val="clear" w:color="auto" w:fill="FFFFFF"/>
        </w:rPr>
        <w:t>.</w:t>
      </w:r>
    </w:p>
    <w:p w:rsidR="006857A0" w:rsidRPr="007018FA" w:rsidRDefault="006857A0" w:rsidP="006857A0">
      <w:pPr>
        <w:pStyle w:val="NormalWeb"/>
        <w:shd w:val="clear" w:color="auto" w:fill="FFFFFF"/>
        <w:spacing w:after="360" w:afterAutospacing="0"/>
        <w:jc w:val="both"/>
        <w:rPr>
          <w:rFonts w:ascii="Georgia" w:hAnsi="Georgia" w:cs="Arial"/>
          <w:b/>
          <w:color w:val="202124"/>
          <w:shd w:val="clear" w:color="auto" w:fill="FFFFFF"/>
        </w:rPr>
      </w:pPr>
      <w:r w:rsidRPr="0053140F">
        <w:rPr>
          <w:rFonts w:ascii="Georgia" w:hAnsi="Georgia" w:cs="Arial"/>
          <w:b/>
          <w:color w:val="202124"/>
          <w:sz w:val="28"/>
          <w:szCs w:val="28"/>
          <w:shd w:val="clear" w:color="auto" w:fill="FFFFFF"/>
        </w:rPr>
        <w:t>1</w:t>
      </w:r>
      <w:r>
        <w:rPr>
          <w:rFonts w:ascii="Georgia" w:hAnsi="Georgia" w:cs="Arial"/>
          <w:b/>
          <w:color w:val="202124"/>
          <w:shd w:val="clear" w:color="auto" w:fill="FFFFFF"/>
        </w:rPr>
        <w:t xml:space="preserve">  </w:t>
      </w:r>
      <w:r w:rsidRPr="007018FA">
        <w:rPr>
          <w:rFonts w:ascii="Georgia" w:hAnsi="Georgia" w:cs="Arial"/>
          <w:b/>
          <w:color w:val="202124"/>
          <w:shd w:val="clear" w:color="auto" w:fill="FFFFFF"/>
        </w:rPr>
        <w:t>¿Por qué no se refina en Chile?</w:t>
      </w:r>
    </w:p>
    <w:p w:rsidR="006857A0" w:rsidRDefault="001555B6" w:rsidP="006857A0">
      <w:pPr>
        <w:pStyle w:val="NormalWeb"/>
        <w:shd w:val="clear" w:color="auto" w:fill="FFFFFF"/>
        <w:spacing w:after="360" w:afterAutospacing="0"/>
        <w:jc w:val="both"/>
        <w:rPr>
          <w:rFonts w:ascii="Georgia" w:hAnsi="Georgia" w:cs="Arial"/>
          <w:color w:val="202124"/>
          <w:shd w:val="clear" w:color="auto" w:fill="FFFFFF"/>
        </w:rPr>
      </w:pPr>
      <w:r>
        <w:rPr>
          <w:rFonts w:ascii="Georgia" w:hAnsi="Georgia" w:cs="Arial"/>
          <w:color w:val="202124"/>
          <w:shd w:val="clear" w:color="auto" w:fill="FFFFFF"/>
        </w:rPr>
        <w:t>En este escenario l</w:t>
      </w:r>
      <w:r w:rsidR="006857A0">
        <w:rPr>
          <w:rFonts w:ascii="Georgia" w:hAnsi="Georgia" w:cs="Arial"/>
          <w:color w:val="202124"/>
          <w:shd w:val="clear" w:color="auto" w:fill="FFFFFF"/>
        </w:rPr>
        <w:t>a pregunta es: ¿Por qué no se refina en Chile? La respuesta es que existen fundiciones pero estas no tienen la capacidad para refinar las 10 o más millones de toneladas de concentrados de cobre que se producen en Chile. Las estadísticas de Sernageomin u otras se refieren como producción de cobre a 5,7 millones de toneladas de fino (MTF), sin referencia alguna a los concentrados. Los reportes de aduana en relación a los embarques de concentrados de cobre no entregan datos relativos al contenido de subproductos. Dada la cantidad de minerales valiosos y estratégicos que conllevan los subproductos es un tema que debe ser esclarecido para recuperar por una parte una riqueza no renovable y por otra materializar proyectos importantes de infraestructura.</w:t>
      </w:r>
    </w:p>
    <w:p w:rsidR="006857A0" w:rsidRPr="0093648F" w:rsidRDefault="006857A0" w:rsidP="006857A0">
      <w:pPr>
        <w:pStyle w:val="NormalWeb"/>
        <w:shd w:val="clear" w:color="auto" w:fill="FFFFFF"/>
        <w:spacing w:after="360" w:afterAutospacing="0"/>
        <w:jc w:val="both"/>
        <w:rPr>
          <w:rFonts w:ascii="Georgia" w:hAnsi="Georgia" w:cs="Arial"/>
          <w:b/>
          <w:color w:val="202124"/>
          <w:shd w:val="clear" w:color="auto" w:fill="FFFFFF"/>
        </w:rPr>
      </w:pPr>
      <w:r w:rsidRPr="0053140F">
        <w:rPr>
          <w:rFonts w:ascii="Georgia" w:hAnsi="Georgia" w:cs="Arial"/>
          <w:b/>
          <w:color w:val="202124"/>
          <w:sz w:val="28"/>
          <w:szCs w:val="28"/>
          <w:shd w:val="clear" w:color="auto" w:fill="FFFFFF"/>
        </w:rPr>
        <w:t>2</w:t>
      </w:r>
      <w:r>
        <w:rPr>
          <w:rFonts w:ascii="Georgia" w:hAnsi="Georgia" w:cs="Arial"/>
          <w:b/>
          <w:color w:val="202124"/>
          <w:shd w:val="clear" w:color="auto" w:fill="FFFFFF"/>
        </w:rPr>
        <w:t xml:space="preserve">  </w:t>
      </w:r>
      <w:r w:rsidRPr="0093648F">
        <w:rPr>
          <w:rFonts w:ascii="Georgia" w:hAnsi="Georgia" w:cs="Arial"/>
          <w:b/>
          <w:color w:val="202124"/>
          <w:shd w:val="clear" w:color="auto" w:fill="FFFFFF"/>
        </w:rPr>
        <w:t>La relaci</w:t>
      </w:r>
      <w:r>
        <w:rPr>
          <w:rFonts w:ascii="Georgia" w:hAnsi="Georgia" w:cs="Arial"/>
          <w:b/>
          <w:color w:val="202124"/>
          <w:shd w:val="clear" w:color="auto" w:fill="FFFFFF"/>
        </w:rPr>
        <w:t xml:space="preserve">ón: </w:t>
      </w:r>
      <w:r w:rsidRPr="0093648F">
        <w:rPr>
          <w:rFonts w:ascii="Georgia" w:hAnsi="Georgia" w:cs="Arial"/>
          <w:b/>
          <w:color w:val="202124"/>
          <w:shd w:val="clear" w:color="auto" w:fill="FFFFFF"/>
        </w:rPr>
        <w:t>concentrados de cobre y subproductos</w:t>
      </w:r>
    </w:p>
    <w:p w:rsidR="006857A0" w:rsidRPr="0071447A" w:rsidRDefault="006857A0" w:rsidP="006857A0">
      <w:pPr>
        <w:pStyle w:val="NormalWeb"/>
        <w:shd w:val="clear" w:color="auto" w:fill="FFFFFF"/>
        <w:spacing w:after="360" w:afterAutospacing="0"/>
        <w:jc w:val="both"/>
        <w:rPr>
          <w:rFonts w:ascii="Georgia" w:eastAsia="Times New Roman" w:hAnsi="Georgia"/>
          <w:lang w:val="es-MX" w:eastAsia="es-MX"/>
        </w:rPr>
      </w:pPr>
      <w:r>
        <w:rPr>
          <w:rFonts w:ascii="Georgia" w:hAnsi="Georgia" w:cs="Arial"/>
          <w:color w:val="202124"/>
          <w:shd w:val="clear" w:color="auto" w:fill="FFFFFF"/>
        </w:rPr>
        <w:t xml:space="preserve">Estimaciones de profesionales de la metalurgia en contacto con la explotación actual de las empresas mineras establecen relaciones entre subproductos y concentrados de cobre. Una de estas relaciones, </w:t>
      </w:r>
      <w:r w:rsidR="00816543">
        <w:rPr>
          <w:rFonts w:ascii="Georgia" w:eastAsia="Times New Roman" w:hAnsi="Georgia" w:cs="Segoe UI"/>
          <w:lang w:val="es-MX" w:eastAsia="es-MX"/>
        </w:rPr>
        <w:t>1 a 3 de cobre versus</w:t>
      </w:r>
      <w:r>
        <w:rPr>
          <w:rFonts w:ascii="Georgia" w:eastAsia="Times New Roman" w:hAnsi="Georgia" w:cs="Segoe UI"/>
          <w:lang w:val="es-MX" w:eastAsia="es-MX"/>
        </w:rPr>
        <w:t xml:space="preserve"> concentrados, se refiere a la producción de 5 mineras exportadoras a saber, Collahuasi, Teck, AMSA, Angloamerican, BHP, con un valor para el molibdeno contenido en el concentrado de 17 mil millones de dólares a un precio de US $45/kg. Sin mayores precisiones sólo puede establecerse que el precio del molibdeno crece sistemáticamente desde el año 2020. Existen otros contenidos de metales de alto valor comercial a saber oro, plata y platino, rodio. La geología de los minerales de cobre en Chile son principalmente pórfidos cupríferos que generan sistemas de cobre-molibdeno-oro-plata de la misma naturaleza en todas las minas. Por ello con toda propiedad puede establecerse que cualquiera exportación de  concentrados de cobre, contendrá indefectiblemente molibdeno, oro y demás metales en la misma proporción ya que las plantas </w:t>
      </w:r>
      <w:r>
        <w:rPr>
          <w:rFonts w:ascii="Georgia" w:eastAsia="Times New Roman" w:hAnsi="Georgia" w:cs="Segoe UI"/>
          <w:lang w:val="es-MX" w:eastAsia="es-MX"/>
        </w:rPr>
        <w:lastRenderedPageBreak/>
        <w:t>concentradoras usan el mismo principio para extraer el concentrado. Las leyes serán diferentes pero los rangos de metales en el concentrado de cobre siempre serán los mismos desde Tarapacá a El Teniente a saber 0.5% de molibdeno fino, 0.5 a 1 gr/Ton de oro, &gt;300g/Ton de plata, 30% de azufre, 27% de hierro entre otros</w:t>
      </w:r>
      <w:r w:rsidRPr="0071447A">
        <w:rPr>
          <w:rFonts w:ascii="Georgia" w:eastAsia="Times New Roman" w:hAnsi="Georgia" w:cs="Segoe UI"/>
          <w:lang w:val="es-MX" w:eastAsia="es-MX"/>
        </w:rPr>
        <w:t xml:space="preserve">. </w:t>
      </w:r>
      <w:r w:rsidRPr="0071447A">
        <w:rPr>
          <w:rFonts w:ascii="Georgia" w:eastAsia="Times New Roman" w:hAnsi="Georgia"/>
          <w:lang w:val="es-MX" w:eastAsia="es-MX"/>
        </w:rPr>
        <w:t>El molibdeno es un metal que se usa en aleaciones para darle dureza al acero, en lubricantes sintéticos, farmacia, etc.</w:t>
      </w:r>
      <w:r w:rsidRPr="0071447A">
        <w:rPr>
          <w:rFonts w:eastAsia="Times New Roman"/>
          <w:lang w:val="es-MX" w:eastAsia="es-MX"/>
        </w:rPr>
        <w:t xml:space="preserve"> </w:t>
      </w:r>
      <w:r w:rsidRPr="0071447A">
        <w:rPr>
          <w:rFonts w:ascii="Georgia" w:eastAsia="Times New Roman" w:hAnsi="Georgia"/>
          <w:lang w:val="es-MX" w:eastAsia="es-MX"/>
        </w:rPr>
        <w:t>Dado el avance en tecnologías en esta década su precio ha aumentado mucho por la necesidad de cambiar a energías verdes, electro movilidad, carrera espacial</w:t>
      </w:r>
      <w:r>
        <w:rPr>
          <w:rFonts w:ascii="Georgia" w:eastAsia="Times New Roman" w:hAnsi="Georgia"/>
          <w:lang w:val="es-MX" w:eastAsia="es-MX"/>
        </w:rPr>
        <w:t>,</w:t>
      </w:r>
      <w:r w:rsidRPr="0071447A">
        <w:rPr>
          <w:rFonts w:ascii="Georgia" w:eastAsia="Times New Roman" w:hAnsi="Georgia"/>
          <w:lang w:val="es-MX" w:eastAsia="es-MX"/>
        </w:rPr>
        <w:t xml:space="preserve"> y motores más eficientes. Dado el desarrollo de la industria farmacéutica y química también ha aumentado su demanda. En décadas venideras será mayor. Su valor y demanda es directamente proporcional al avance tecnológico como todos los metales y tierras raras. China figura como principal productor de molibdeno, </w:t>
      </w:r>
      <w:r>
        <w:rPr>
          <w:rFonts w:ascii="Georgia" w:eastAsia="Times New Roman" w:hAnsi="Georgia"/>
          <w:lang w:val="es-MX" w:eastAsia="es-MX"/>
        </w:rPr>
        <w:t xml:space="preserve">precisamente </w:t>
      </w:r>
      <w:r w:rsidRPr="0071447A">
        <w:rPr>
          <w:rFonts w:ascii="Georgia" w:eastAsia="Times New Roman" w:hAnsi="Georgia"/>
          <w:lang w:val="es-MX" w:eastAsia="es-MX"/>
        </w:rPr>
        <w:t>porque es el destino</w:t>
      </w:r>
      <w:r w:rsidRPr="006857A0">
        <w:rPr>
          <w:rFonts w:ascii="Georgia" w:eastAsia="Times New Roman" w:hAnsi="Georgia"/>
          <w:lang w:val="es-MX" w:eastAsia="es-MX"/>
        </w:rPr>
        <w:t xml:space="preserve"> </w:t>
      </w:r>
      <w:r>
        <w:rPr>
          <w:rFonts w:ascii="Georgia" w:eastAsia="Times New Roman" w:hAnsi="Georgia"/>
          <w:lang w:val="es-MX" w:eastAsia="es-MX"/>
        </w:rPr>
        <w:t>mayor</w:t>
      </w:r>
      <w:r w:rsidRPr="0071447A">
        <w:rPr>
          <w:rFonts w:ascii="Georgia" w:eastAsia="Times New Roman" w:hAnsi="Georgia"/>
          <w:lang w:val="es-MX" w:eastAsia="es-MX"/>
        </w:rPr>
        <w:t xml:space="preserve"> de los concentrados de Chile y donde lo recupe</w:t>
      </w:r>
      <w:r>
        <w:rPr>
          <w:rFonts w:ascii="Georgia" w:eastAsia="Times New Roman" w:hAnsi="Georgia"/>
          <w:lang w:val="es-MX" w:eastAsia="es-MX"/>
        </w:rPr>
        <w:t>ran en sus plantas de flotación</w:t>
      </w:r>
      <w:r w:rsidRPr="0071447A">
        <w:rPr>
          <w:rFonts w:ascii="Georgia" w:eastAsia="Times New Roman" w:hAnsi="Georgia"/>
          <w:lang w:val="es-MX" w:eastAsia="es-MX"/>
        </w:rPr>
        <w:t>.</w:t>
      </w:r>
    </w:p>
    <w:p w:rsidR="006857A0" w:rsidRPr="0093648F" w:rsidRDefault="006857A0" w:rsidP="006857A0">
      <w:pPr>
        <w:pStyle w:val="NormalWeb"/>
        <w:shd w:val="clear" w:color="auto" w:fill="FFFFFF"/>
        <w:spacing w:after="360" w:afterAutospacing="0"/>
        <w:jc w:val="both"/>
        <w:rPr>
          <w:rFonts w:ascii="Georgia" w:hAnsi="Georgia" w:cs="Arial"/>
          <w:b/>
          <w:color w:val="202124"/>
          <w:shd w:val="clear" w:color="auto" w:fill="FFFFFF"/>
        </w:rPr>
      </w:pPr>
      <w:r w:rsidRPr="0053140F">
        <w:rPr>
          <w:rFonts w:ascii="Georgia" w:hAnsi="Georgia" w:cs="Arial"/>
          <w:b/>
          <w:color w:val="202124"/>
          <w:sz w:val="28"/>
          <w:szCs w:val="28"/>
          <w:shd w:val="clear" w:color="auto" w:fill="FFFFFF"/>
        </w:rPr>
        <w:t>3</w:t>
      </w:r>
      <w:r>
        <w:rPr>
          <w:rFonts w:ascii="Georgia" w:hAnsi="Georgia" w:cs="Arial"/>
          <w:b/>
          <w:color w:val="202124"/>
          <w:shd w:val="clear" w:color="auto" w:fill="FFFFFF"/>
        </w:rPr>
        <w:t xml:space="preserve">  </w:t>
      </w:r>
      <w:r w:rsidRPr="0093648F">
        <w:rPr>
          <w:rFonts w:ascii="Georgia" w:hAnsi="Georgia" w:cs="Arial"/>
          <w:b/>
          <w:color w:val="202124"/>
          <w:shd w:val="clear" w:color="auto" w:fill="FFFFFF"/>
        </w:rPr>
        <w:t>Datos de la refinería Aurubis</w:t>
      </w:r>
    </w:p>
    <w:p w:rsidR="006857A0" w:rsidRDefault="006857A0" w:rsidP="006857A0">
      <w:pPr>
        <w:pStyle w:val="NormalWeb"/>
        <w:shd w:val="clear" w:color="auto" w:fill="FFFFFF"/>
        <w:spacing w:after="360" w:afterAutospacing="0"/>
        <w:jc w:val="both"/>
        <w:rPr>
          <w:rFonts w:ascii="Georgia" w:hAnsi="Georgia"/>
          <w:lang w:val="es-MX"/>
        </w:rPr>
      </w:pPr>
      <w:r>
        <w:rPr>
          <w:rFonts w:ascii="Georgia" w:hAnsi="Georgia" w:cs="Arial"/>
          <w:color w:val="202124"/>
          <w:shd w:val="clear" w:color="auto" w:fill="FFFFFF"/>
        </w:rPr>
        <w:t xml:space="preserve">Otra fuente de información se encuentra de la relación, concentrado de cobre embarcado y subproductos, son las refinerías. Ahora bien existe </w:t>
      </w:r>
      <w:r>
        <w:rPr>
          <w:rFonts w:ascii="Georgia" w:hAnsi="Georgia"/>
          <w:lang w:val="es-MX"/>
        </w:rPr>
        <w:t>el resultado que nos presenta la refinería Aurubis (Hamburgo, Alemania) en su informe “</w:t>
      </w:r>
      <w:r w:rsidRPr="00BD3D8C">
        <w:rPr>
          <w:rFonts w:ascii="Georgia" w:hAnsi="Georgia"/>
          <w:i/>
          <w:lang w:val="es-MX"/>
        </w:rPr>
        <w:t>Metal for Progress</w:t>
      </w:r>
      <w:r>
        <w:rPr>
          <w:rFonts w:ascii="Georgia" w:hAnsi="Georgia"/>
          <w:lang w:val="es-MX"/>
        </w:rPr>
        <w:t>” 23 de marzo 2022, el procesamiento se refiere a 15 subproductos donde la relación del concentrado, según el quantum (incluyendo el cátodo), corresponde a 36% de mineral de cobre y 64% de subproductos. Los subproductos en la información se refieren a desechos, reciclaje, alambrones, coppershapes, cátodos, planchas de cobre, ácido sulfúrico, oro, plata, plomo, níquel, estaño, zinc, metales menores y platino. Tres de subproductos, oro, plata y níquel, corresponden 0.1% del quantum del concentrado en toneladas, pero representan 97,1% del valor del mercado del total de los subproductos, medidos a precios de mercados vigentes a la tercera semana de abril (2022). El Informe de Aurubis está fechado en 2022, pero los minerales procesados se refieren a 2019-2020. Ver en página 6 del Informe Aurubis AG el cuadro titulado “Fuertes mercados de concentrados y reciclaje compensan el tenso negocio de productos a consecuencia del Covid-19” Año 2019/2020 (</w:t>
      </w:r>
      <w:r w:rsidRPr="00484D78">
        <w:rPr>
          <w:rFonts w:ascii="Georgia" w:hAnsi="Georgia"/>
          <w:i/>
          <w:lang w:val="es-MX"/>
        </w:rPr>
        <w:t>Strong concentrate and recycling markets compensate for product business strained by Covid-19</w:t>
      </w:r>
      <w:r>
        <w:rPr>
          <w:rFonts w:ascii="Georgia" w:hAnsi="Georgia"/>
          <w:lang w:val="es-MX"/>
        </w:rPr>
        <w:t xml:space="preserve">). </w:t>
      </w:r>
    </w:p>
    <w:p w:rsidR="006857A0" w:rsidRDefault="006857A0" w:rsidP="006857A0">
      <w:pPr>
        <w:pStyle w:val="NormalWeb"/>
        <w:shd w:val="clear" w:color="auto" w:fill="FFFFFF"/>
        <w:spacing w:after="360" w:afterAutospacing="0"/>
        <w:jc w:val="both"/>
        <w:rPr>
          <w:rFonts w:ascii="Georgia" w:hAnsi="Georgia"/>
          <w:lang w:val="es-MX"/>
        </w:rPr>
      </w:pPr>
      <w:r>
        <w:rPr>
          <w:rFonts w:ascii="Georgia" w:hAnsi="Georgia"/>
          <w:lang w:val="es-MX"/>
        </w:rPr>
        <w:t xml:space="preserve">En un </w:t>
      </w:r>
      <w:r w:rsidRPr="000D2DCD">
        <w:rPr>
          <w:rFonts w:ascii="Georgia" w:hAnsi="Georgia"/>
          <w:i/>
          <w:lang w:val="es-MX"/>
        </w:rPr>
        <w:t>loop</w:t>
      </w:r>
      <w:r>
        <w:rPr>
          <w:rFonts w:ascii="Georgia" w:hAnsi="Georgia"/>
          <w:lang w:val="es-MX"/>
        </w:rPr>
        <w:t xml:space="preserve"> diseñado en la página 4 del Informe de Aurubis se describen las operaciones del proceso de tratamiento del concentrado a saber: fundición y refinación, colada continua, alambrón, productos laminados planos, aplicaciones especializadas para metales menores, procesadores y usuarios finales. Se cierra el </w:t>
      </w:r>
      <w:r w:rsidRPr="000D2DCD">
        <w:rPr>
          <w:rFonts w:ascii="Georgia" w:hAnsi="Georgia"/>
          <w:i/>
          <w:lang w:val="es-MX"/>
        </w:rPr>
        <w:t>loop</w:t>
      </w:r>
      <w:r>
        <w:rPr>
          <w:rFonts w:ascii="Georgia" w:hAnsi="Georgia"/>
          <w:lang w:val="es-MX"/>
        </w:rPr>
        <w:t xml:space="preserve"> con las siguientes operaciones, consumidores y recolector de chatarras.</w:t>
      </w:r>
    </w:p>
    <w:p w:rsidR="006857A0" w:rsidRDefault="006857A0" w:rsidP="006857A0">
      <w:pPr>
        <w:pStyle w:val="NormalWeb"/>
        <w:shd w:val="clear" w:color="auto" w:fill="FFFFFF"/>
        <w:spacing w:after="360" w:afterAutospacing="0"/>
        <w:jc w:val="both"/>
        <w:rPr>
          <w:rFonts w:ascii="Georgia" w:hAnsi="Georgia"/>
          <w:lang w:val="es-MX"/>
        </w:rPr>
      </w:pPr>
      <w:r>
        <w:rPr>
          <w:rFonts w:ascii="Georgia" w:hAnsi="Georgia"/>
          <w:lang w:val="es-MX"/>
        </w:rPr>
        <w:t>En el texto se señala un proceso de alta tecnología de beneficio de concentrados que involucra a 2 millones 378 mil toneladas (Cuadro n°1).</w:t>
      </w:r>
    </w:p>
    <w:p w:rsidR="006E7E12" w:rsidRDefault="006E7E12" w:rsidP="006857A0">
      <w:pPr>
        <w:pStyle w:val="NormalWeb"/>
        <w:shd w:val="clear" w:color="auto" w:fill="FFFFFF"/>
        <w:spacing w:after="360" w:afterAutospacing="0"/>
        <w:jc w:val="both"/>
        <w:rPr>
          <w:rFonts w:ascii="Georgia" w:hAnsi="Georgia"/>
          <w:lang w:val="es-MX"/>
        </w:rPr>
      </w:pPr>
    </w:p>
    <w:tbl>
      <w:tblPr>
        <w:tblStyle w:val="Tablaconcuadrcula"/>
        <w:tblW w:w="0" w:type="auto"/>
        <w:tblLook w:val="04A0" w:firstRow="1" w:lastRow="0" w:firstColumn="1" w:lastColumn="0" w:noHBand="0" w:noVBand="1"/>
      </w:tblPr>
      <w:tblGrid>
        <w:gridCol w:w="8828"/>
      </w:tblGrid>
      <w:tr w:rsidR="006857A0" w:rsidTr="00585BC8">
        <w:tc>
          <w:tcPr>
            <w:tcW w:w="8978" w:type="dxa"/>
          </w:tcPr>
          <w:p w:rsidR="006857A0" w:rsidRPr="002845A2" w:rsidRDefault="006857A0" w:rsidP="00585BC8">
            <w:pPr>
              <w:pStyle w:val="NormalWeb"/>
              <w:spacing w:after="360" w:afterAutospacing="0"/>
              <w:jc w:val="both"/>
              <w:rPr>
                <w:rFonts w:ascii="Georgia" w:hAnsi="Georgia"/>
                <w:b/>
                <w:lang w:val="es-MX"/>
              </w:rPr>
            </w:pPr>
            <w:r w:rsidRPr="002845A2">
              <w:rPr>
                <w:rFonts w:ascii="Georgia" w:hAnsi="Georgia"/>
                <w:b/>
                <w:lang w:val="es-MX"/>
              </w:rPr>
              <w:t>Cuadro N° 1. Proceso de refinado de concentratos de cobre en la refinería Aurubis (Alemania)</w:t>
            </w:r>
          </w:p>
        </w:tc>
      </w:tr>
    </w:tbl>
    <w:p w:rsidR="006857A0" w:rsidRDefault="006857A0" w:rsidP="006857A0">
      <w:pPr>
        <w:pStyle w:val="NormalWeb"/>
        <w:shd w:val="clear" w:color="auto" w:fill="FFFFFF"/>
        <w:spacing w:after="360" w:afterAutospacing="0"/>
        <w:jc w:val="both"/>
        <w:rPr>
          <w:rFonts w:ascii="Georgia" w:hAnsi="Georgia"/>
          <w:lang w:val="es-MX"/>
        </w:rPr>
      </w:pPr>
      <w:r>
        <w:rPr>
          <w:rFonts w:ascii="Georgia" w:hAnsi="Georgia"/>
          <w:noProof/>
          <w:lang w:val="es-MX" w:eastAsia="es-MX"/>
        </w:rPr>
        <w:drawing>
          <wp:inline distT="0" distB="0" distL="0" distR="0">
            <wp:extent cx="5612130" cy="3188684"/>
            <wp:effectExtent l="19050" t="0" r="7620" b="0"/>
            <wp:docPr id="1" name="Imagen 21" descr="C:\Users\vegah\Pictures\Saved Pictures\2022 AURU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vegah\Pictures\Saved Pictures\2022 AURUBI.jpg"/>
                    <pic:cNvPicPr>
                      <a:picLocks noChangeAspect="1" noChangeArrowheads="1"/>
                    </pic:cNvPicPr>
                  </pic:nvPicPr>
                  <pic:blipFill>
                    <a:blip r:embed="rId6"/>
                    <a:srcRect/>
                    <a:stretch>
                      <a:fillRect/>
                    </a:stretch>
                  </pic:blipFill>
                  <pic:spPr bwMode="auto">
                    <a:xfrm>
                      <a:off x="0" y="0"/>
                      <a:ext cx="5612130" cy="3188684"/>
                    </a:xfrm>
                    <a:prstGeom prst="rect">
                      <a:avLst/>
                    </a:prstGeom>
                    <a:noFill/>
                    <a:ln w="9525">
                      <a:noFill/>
                      <a:miter lim="800000"/>
                      <a:headEnd/>
                      <a:tailEnd/>
                    </a:ln>
                  </pic:spPr>
                </pic:pic>
              </a:graphicData>
            </a:graphic>
          </wp:inline>
        </w:drawing>
      </w:r>
    </w:p>
    <w:p w:rsidR="006857A0" w:rsidRDefault="006857A0" w:rsidP="006857A0">
      <w:pPr>
        <w:pStyle w:val="NormalWeb"/>
        <w:shd w:val="clear" w:color="auto" w:fill="FFFFFF"/>
        <w:spacing w:after="360" w:afterAutospacing="0"/>
        <w:jc w:val="both"/>
        <w:rPr>
          <w:rFonts w:ascii="Georgia" w:hAnsi="Georgia"/>
          <w:lang w:val="es-MX"/>
        </w:rPr>
      </w:pPr>
      <w:r>
        <w:rPr>
          <w:rFonts w:ascii="Georgia" w:hAnsi="Georgia" w:cs="Arial"/>
          <w:color w:val="202124"/>
          <w:shd w:val="clear" w:color="auto" w:fill="FFFFFF"/>
        </w:rPr>
        <w:t xml:space="preserve">Los 2,3 millones de toneladas de concentrados de cobre corresponden 5,1 millones de libras que se expresan en valores de mercado a distintos precios de la libra. Cuando la libra de cobre es evaluada a US $4,74, su relación con los valores de los subproductos es de 12,6 veces. Una fluctuación en el precio de mercado del cobre cambia la relación con los subproductos. Véase columna 4, del cuadro siguiente, donde 5,1 millones de libras de cobre se expresan en valores de </w:t>
      </w:r>
      <w:r>
        <w:rPr>
          <w:rFonts w:ascii="Georgia" w:hAnsi="Georgia"/>
          <w:lang w:val="es-MX"/>
        </w:rPr>
        <w:t>US $</w:t>
      </w:r>
      <w:r>
        <w:rPr>
          <w:rFonts w:ascii="Georgia" w:hAnsi="Georgia" w:cs="Arial"/>
          <w:color w:val="202124"/>
          <w:shd w:val="clear" w:color="auto" w:fill="FFFFFF"/>
        </w:rPr>
        <w:t xml:space="preserve">4,00; </w:t>
      </w:r>
      <w:r>
        <w:rPr>
          <w:rFonts w:ascii="Georgia" w:hAnsi="Georgia"/>
          <w:lang w:val="es-MX"/>
        </w:rPr>
        <w:t>US $</w:t>
      </w:r>
      <w:r>
        <w:rPr>
          <w:rFonts w:ascii="Georgia" w:hAnsi="Georgia" w:cs="Arial"/>
          <w:color w:val="202124"/>
          <w:shd w:val="clear" w:color="auto" w:fill="FFFFFF"/>
        </w:rPr>
        <w:t xml:space="preserve">4,50; </w:t>
      </w:r>
      <w:r>
        <w:rPr>
          <w:rFonts w:ascii="Georgia" w:hAnsi="Georgia"/>
          <w:lang w:val="es-MX"/>
        </w:rPr>
        <w:t>US $</w:t>
      </w:r>
      <w:r>
        <w:rPr>
          <w:rFonts w:ascii="Georgia" w:hAnsi="Georgia" w:cs="Arial"/>
          <w:color w:val="202124"/>
          <w:shd w:val="clear" w:color="auto" w:fill="FFFFFF"/>
        </w:rPr>
        <w:t xml:space="preserve">4,74 dólares la libra, la relación cobre-subproductos cambia de 14,9, 13,2, 12,6 respectivamente, es decir </w:t>
      </w:r>
      <w:r>
        <w:rPr>
          <w:rFonts w:ascii="Georgia" w:hAnsi="Georgia"/>
          <w:lang w:val="es-MX"/>
        </w:rPr>
        <w:t>si los subproductos valen US $ 311,7 mil millones, cifra constante, y el precio de la libra sube, lógicamente el coeficiente baja.</w:t>
      </w:r>
    </w:p>
    <w:p w:rsidR="006E7E12" w:rsidRDefault="006E7E12" w:rsidP="006857A0">
      <w:pPr>
        <w:pStyle w:val="NormalWeb"/>
        <w:shd w:val="clear" w:color="auto" w:fill="FFFFFF"/>
        <w:spacing w:after="360" w:afterAutospacing="0"/>
        <w:jc w:val="both"/>
        <w:rPr>
          <w:rFonts w:ascii="Georgia" w:hAnsi="Georgia" w:cs="Arial"/>
          <w:color w:val="202124"/>
          <w:shd w:val="clear" w:color="auto" w:fill="FFFFFF"/>
        </w:rPr>
      </w:pPr>
    </w:p>
    <w:tbl>
      <w:tblPr>
        <w:tblStyle w:val="Tablaconcuadrcula"/>
        <w:tblW w:w="0" w:type="auto"/>
        <w:tblInd w:w="1416" w:type="dxa"/>
        <w:tblLayout w:type="fixed"/>
        <w:tblLook w:val="04A0" w:firstRow="1" w:lastRow="0" w:firstColumn="1" w:lastColumn="0" w:noHBand="0" w:noVBand="1"/>
      </w:tblPr>
      <w:tblGrid>
        <w:gridCol w:w="1668"/>
        <w:gridCol w:w="1418"/>
        <w:gridCol w:w="1417"/>
        <w:gridCol w:w="1419"/>
      </w:tblGrid>
      <w:tr w:rsidR="006857A0" w:rsidTr="00585BC8">
        <w:tc>
          <w:tcPr>
            <w:tcW w:w="5922" w:type="dxa"/>
            <w:gridSpan w:val="4"/>
          </w:tcPr>
          <w:p w:rsidR="006857A0" w:rsidRPr="001744B2" w:rsidRDefault="006857A0" w:rsidP="00585BC8">
            <w:pPr>
              <w:pStyle w:val="NormalWeb"/>
              <w:spacing w:after="360" w:afterAutospacing="0"/>
              <w:jc w:val="center"/>
              <w:rPr>
                <w:rFonts w:ascii="Georgia" w:hAnsi="Georgia" w:cs="Arial"/>
                <w:color w:val="202124"/>
                <w:sz w:val="20"/>
                <w:szCs w:val="20"/>
                <w:shd w:val="clear" w:color="auto" w:fill="FFFFFF"/>
              </w:rPr>
            </w:pPr>
            <w:r>
              <w:rPr>
                <w:rFonts w:ascii="Georgia" w:hAnsi="Georgia" w:cs="Arial"/>
                <w:color w:val="202124"/>
                <w:sz w:val="20"/>
                <w:szCs w:val="20"/>
                <w:shd w:val="clear" w:color="auto" w:fill="FFFFFF"/>
              </w:rPr>
              <w:t xml:space="preserve">Cuadro n° 2. </w:t>
            </w:r>
            <w:r w:rsidRPr="001744B2">
              <w:rPr>
                <w:rFonts w:ascii="Georgia" w:hAnsi="Georgia" w:cs="Arial"/>
                <w:color w:val="202124"/>
                <w:sz w:val="20"/>
                <w:szCs w:val="20"/>
                <w:shd w:val="clear" w:color="auto" w:fill="FFFFFF"/>
              </w:rPr>
              <w:t>Relación concentrado de cobre, valor de los subproductos</w:t>
            </w:r>
          </w:p>
        </w:tc>
      </w:tr>
      <w:tr w:rsidR="006857A0" w:rsidTr="00585BC8">
        <w:trPr>
          <w:trHeight w:val="346"/>
        </w:trPr>
        <w:tc>
          <w:tcPr>
            <w:tcW w:w="1668" w:type="dxa"/>
          </w:tcPr>
          <w:p w:rsidR="006857A0" w:rsidRPr="00E23EF5" w:rsidRDefault="006857A0" w:rsidP="00585BC8">
            <w:pPr>
              <w:pStyle w:val="NormalWeb"/>
              <w:spacing w:after="360" w:afterAutospacing="0"/>
              <w:jc w:val="both"/>
              <w:rPr>
                <w:rFonts w:ascii="Georgia" w:hAnsi="Georgia" w:cs="Arial"/>
                <w:color w:val="202124"/>
                <w:sz w:val="18"/>
                <w:szCs w:val="18"/>
                <w:shd w:val="clear" w:color="auto" w:fill="FFFFFF"/>
              </w:rPr>
            </w:pPr>
            <w:r w:rsidRPr="00E23EF5">
              <w:rPr>
                <w:rFonts w:ascii="Georgia" w:hAnsi="Georgia" w:cs="Arial"/>
                <w:color w:val="202124"/>
                <w:sz w:val="18"/>
                <w:szCs w:val="18"/>
                <w:shd w:val="clear" w:color="auto" w:fill="FFFFFF"/>
              </w:rPr>
              <w:t xml:space="preserve">Relación </w:t>
            </w:r>
            <w:r>
              <w:rPr>
                <w:rFonts w:ascii="Georgia" w:hAnsi="Georgia" w:cs="Arial"/>
                <w:color w:val="202124"/>
                <w:sz w:val="18"/>
                <w:szCs w:val="18"/>
                <w:shd w:val="clear" w:color="auto" w:fill="FFFFFF"/>
              </w:rPr>
              <w:t xml:space="preserve">de </w:t>
            </w:r>
            <w:r w:rsidRPr="00E23EF5">
              <w:rPr>
                <w:rFonts w:ascii="Georgia" w:hAnsi="Georgia" w:cs="Arial"/>
                <w:color w:val="202124"/>
                <w:sz w:val="18"/>
                <w:szCs w:val="18"/>
                <w:shd w:val="clear" w:color="auto" w:fill="FFFFFF"/>
              </w:rPr>
              <w:t>quantum: subproductos/concentrado de cobre</w:t>
            </w:r>
            <w:r>
              <w:rPr>
                <w:rFonts w:ascii="Georgia" w:hAnsi="Georgia" w:cs="Arial"/>
                <w:color w:val="202124"/>
                <w:sz w:val="18"/>
                <w:szCs w:val="18"/>
                <w:shd w:val="clear" w:color="auto" w:fill="FFFFFF"/>
              </w:rPr>
              <w:t>, en millones de toneladas: 5,1/2,3</w:t>
            </w:r>
          </w:p>
        </w:tc>
        <w:tc>
          <w:tcPr>
            <w:tcW w:w="1418" w:type="dxa"/>
          </w:tcPr>
          <w:p w:rsidR="006857A0" w:rsidRPr="00E23EF5" w:rsidRDefault="006857A0" w:rsidP="00585BC8">
            <w:pPr>
              <w:pStyle w:val="NormalWeb"/>
              <w:spacing w:after="360" w:afterAutospacing="0"/>
              <w:jc w:val="both"/>
              <w:rPr>
                <w:rFonts w:ascii="Georgia" w:hAnsi="Georgia" w:cs="Arial"/>
                <w:color w:val="202124"/>
                <w:sz w:val="18"/>
                <w:szCs w:val="18"/>
                <w:shd w:val="clear" w:color="auto" w:fill="FFFFFF"/>
              </w:rPr>
            </w:pPr>
            <w:r w:rsidRPr="00E23EF5">
              <w:rPr>
                <w:rFonts w:ascii="Georgia" w:hAnsi="Georgia" w:cs="Arial"/>
                <w:color w:val="202124"/>
                <w:sz w:val="18"/>
                <w:szCs w:val="18"/>
                <w:shd w:val="clear" w:color="auto" w:fill="FFFFFF"/>
              </w:rPr>
              <w:t>Relaci</w:t>
            </w:r>
            <w:r>
              <w:rPr>
                <w:rFonts w:ascii="Georgia" w:hAnsi="Georgia" w:cs="Arial"/>
                <w:color w:val="202124"/>
                <w:sz w:val="18"/>
                <w:szCs w:val="18"/>
                <w:shd w:val="clear" w:color="auto" w:fill="FFFFFF"/>
              </w:rPr>
              <w:t xml:space="preserve">ón en valor. Concentrado de cobre/Valor Total de subproductos, 311,7*. En MM de dólares. </w:t>
            </w:r>
          </w:p>
        </w:tc>
        <w:tc>
          <w:tcPr>
            <w:tcW w:w="1417" w:type="dxa"/>
          </w:tcPr>
          <w:p w:rsidR="006857A0" w:rsidRPr="001744B2" w:rsidRDefault="006857A0" w:rsidP="00585BC8">
            <w:pPr>
              <w:pStyle w:val="NormalWeb"/>
              <w:spacing w:after="360" w:afterAutospacing="0"/>
              <w:jc w:val="both"/>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Precio de la libra de cobre</w:t>
            </w:r>
          </w:p>
        </w:tc>
        <w:tc>
          <w:tcPr>
            <w:tcW w:w="1419" w:type="dxa"/>
          </w:tcPr>
          <w:p w:rsidR="006857A0" w:rsidRPr="001744B2" w:rsidRDefault="006857A0" w:rsidP="00585BC8">
            <w:pPr>
              <w:pStyle w:val="NormalWeb"/>
              <w:spacing w:after="360" w:afterAutospacing="0"/>
              <w:jc w:val="both"/>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Coeficiente de relación</w:t>
            </w:r>
            <w:r>
              <w:rPr>
                <w:rFonts w:ascii="Georgia" w:hAnsi="Georgia" w:cs="Arial"/>
                <w:color w:val="202124"/>
                <w:sz w:val="18"/>
                <w:szCs w:val="18"/>
                <w:shd w:val="clear" w:color="auto" w:fill="FFFFFF"/>
              </w:rPr>
              <w:t xml:space="preserve">, subproductos/concentrado de cobre. </w:t>
            </w:r>
          </w:p>
        </w:tc>
      </w:tr>
      <w:tr w:rsidR="006857A0" w:rsidTr="00585BC8">
        <w:tc>
          <w:tcPr>
            <w:tcW w:w="1668" w:type="dxa"/>
          </w:tcPr>
          <w:p w:rsidR="006857A0" w:rsidRPr="001744B2" w:rsidRDefault="006857A0" w:rsidP="00585BC8">
            <w:pPr>
              <w:pStyle w:val="NormalWeb"/>
              <w:spacing w:after="360" w:afterAutospacing="0"/>
              <w:jc w:val="center"/>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2,14</w:t>
            </w:r>
          </w:p>
        </w:tc>
        <w:tc>
          <w:tcPr>
            <w:tcW w:w="1418" w:type="dxa"/>
          </w:tcPr>
          <w:p w:rsidR="006857A0" w:rsidRPr="001744B2" w:rsidRDefault="006857A0" w:rsidP="00585BC8">
            <w:pPr>
              <w:pStyle w:val="NormalWeb"/>
              <w:spacing w:after="360" w:afterAutospacing="0"/>
              <w:jc w:val="center"/>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20,9</w:t>
            </w:r>
          </w:p>
        </w:tc>
        <w:tc>
          <w:tcPr>
            <w:tcW w:w="1417" w:type="dxa"/>
          </w:tcPr>
          <w:p w:rsidR="006857A0" w:rsidRPr="001744B2" w:rsidRDefault="006857A0" w:rsidP="00585BC8">
            <w:pPr>
              <w:pStyle w:val="NormalWeb"/>
              <w:spacing w:after="360" w:afterAutospacing="0"/>
              <w:jc w:val="center"/>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4,00</w:t>
            </w:r>
          </w:p>
        </w:tc>
        <w:tc>
          <w:tcPr>
            <w:tcW w:w="1419" w:type="dxa"/>
          </w:tcPr>
          <w:p w:rsidR="006857A0" w:rsidRPr="001744B2" w:rsidRDefault="006857A0" w:rsidP="00585BC8">
            <w:pPr>
              <w:pStyle w:val="NormalWeb"/>
              <w:spacing w:after="360" w:afterAutospacing="0"/>
              <w:jc w:val="center"/>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14,9</w:t>
            </w:r>
          </w:p>
        </w:tc>
      </w:tr>
      <w:tr w:rsidR="006857A0" w:rsidTr="00585BC8">
        <w:tc>
          <w:tcPr>
            <w:tcW w:w="1668" w:type="dxa"/>
          </w:tcPr>
          <w:p w:rsidR="006857A0" w:rsidRPr="001744B2" w:rsidRDefault="006857A0" w:rsidP="00585BC8">
            <w:pPr>
              <w:pStyle w:val="NormalWeb"/>
              <w:spacing w:after="360" w:afterAutospacing="0"/>
              <w:jc w:val="center"/>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2,14</w:t>
            </w:r>
          </w:p>
        </w:tc>
        <w:tc>
          <w:tcPr>
            <w:tcW w:w="1418" w:type="dxa"/>
          </w:tcPr>
          <w:p w:rsidR="006857A0" w:rsidRPr="001744B2" w:rsidRDefault="006857A0" w:rsidP="00585BC8">
            <w:pPr>
              <w:pStyle w:val="NormalWeb"/>
              <w:spacing w:after="360" w:afterAutospacing="0"/>
              <w:jc w:val="center"/>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23,5</w:t>
            </w:r>
          </w:p>
        </w:tc>
        <w:tc>
          <w:tcPr>
            <w:tcW w:w="1417" w:type="dxa"/>
          </w:tcPr>
          <w:p w:rsidR="006857A0" w:rsidRPr="001744B2" w:rsidRDefault="006857A0" w:rsidP="00585BC8">
            <w:pPr>
              <w:pStyle w:val="NormalWeb"/>
              <w:spacing w:after="360" w:afterAutospacing="0"/>
              <w:jc w:val="center"/>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4,50</w:t>
            </w:r>
          </w:p>
        </w:tc>
        <w:tc>
          <w:tcPr>
            <w:tcW w:w="1419" w:type="dxa"/>
          </w:tcPr>
          <w:p w:rsidR="006857A0" w:rsidRPr="001744B2" w:rsidRDefault="006857A0" w:rsidP="00585BC8">
            <w:pPr>
              <w:pStyle w:val="NormalWeb"/>
              <w:spacing w:after="360" w:afterAutospacing="0"/>
              <w:jc w:val="center"/>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13,2</w:t>
            </w:r>
          </w:p>
        </w:tc>
      </w:tr>
      <w:tr w:rsidR="006857A0" w:rsidTr="00585BC8">
        <w:trPr>
          <w:trHeight w:val="333"/>
        </w:trPr>
        <w:tc>
          <w:tcPr>
            <w:tcW w:w="1668" w:type="dxa"/>
          </w:tcPr>
          <w:p w:rsidR="006857A0" w:rsidRPr="001744B2" w:rsidRDefault="006857A0" w:rsidP="00585BC8">
            <w:pPr>
              <w:pStyle w:val="NormalWeb"/>
              <w:spacing w:after="360" w:afterAutospacing="0"/>
              <w:jc w:val="center"/>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2,14</w:t>
            </w:r>
          </w:p>
        </w:tc>
        <w:tc>
          <w:tcPr>
            <w:tcW w:w="1418" w:type="dxa"/>
          </w:tcPr>
          <w:p w:rsidR="006857A0" w:rsidRPr="001744B2" w:rsidRDefault="006857A0" w:rsidP="00585BC8">
            <w:pPr>
              <w:pStyle w:val="NormalWeb"/>
              <w:spacing w:after="360" w:afterAutospacing="0"/>
              <w:jc w:val="center"/>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24,7</w:t>
            </w:r>
          </w:p>
        </w:tc>
        <w:tc>
          <w:tcPr>
            <w:tcW w:w="1417" w:type="dxa"/>
          </w:tcPr>
          <w:p w:rsidR="006857A0" w:rsidRPr="001744B2" w:rsidRDefault="006857A0" w:rsidP="00585BC8">
            <w:pPr>
              <w:pStyle w:val="NormalWeb"/>
              <w:spacing w:after="360" w:afterAutospacing="0"/>
              <w:jc w:val="center"/>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4,74</w:t>
            </w:r>
          </w:p>
        </w:tc>
        <w:tc>
          <w:tcPr>
            <w:tcW w:w="1419" w:type="dxa"/>
          </w:tcPr>
          <w:p w:rsidR="006857A0" w:rsidRPr="001744B2" w:rsidRDefault="006857A0" w:rsidP="00585BC8">
            <w:pPr>
              <w:pStyle w:val="NormalWeb"/>
              <w:spacing w:after="360" w:afterAutospacing="0"/>
              <w:jc w:val="center"/>
              <w:rPr>
                <w:rFonts w:ascii="Georgia" w:hAnsi="Georgia" w:cs="Arial"/>
                <w:color w:val="202124"/>
                <w:sz w:val="18"/>
                <w:szCs w:val="18"/>
                <w:shd w:val="clear" w:color="auto" w:fill="FFFFFF"/>
              </w:rPr>
            </w:pPr>
            <w:r w:rsidRPr="001744B2">
              <w:rPr>
                <w:rFonts w:ascii="Georgia" w:hAnsi="Georgia" w:cs="Arial"/>
                <w:color w:val="202124"/>
                <w:sz w:val="18"/>
                <w:szCs w:val="18"/>
                <w:shd w:val="clear" w:color="auto" w:fill="FFFFFF"/>
              </w:rPr>
              <w:t>12,6</w:t>
            </w:r>
          </w:p>
        </w:tc>
      </w:tr>
      <w:tr w:rsidR="006857A0" w:rsidRPr="00AD3706" w:rsidTr="00585BC8">
        <w:tc>
          <w:tcPr>
            <w:tcW w:w="5922" w:type="dxa"/>
            <w:gridSpan w:val="4"/>
          </w:tcPr>
          <w:p w:rsidR="006857A0" w:rsidRPr="00AD3706" w:rsidRDefault="006857A0" w:rsidP="00585BC8">
            <w:pPr>
              <w:pStyle w:val="NormalWeb"/>
              <w:spacing w:after="360" w:afterAutospacing="0"/>
              <w:jc w:val="both"/>
              <w:rPr>
                <w:rFonts w:ascii="Georgia" w:hAnsi="Georgia" w:cs="Arial"/>
                <w:color w:val="202124"/>
                <w:sz w:val="18"/>
                <w:szCs w:val="18"/>
                <w:shd w:val="clear" w:color="auto" w:fill="FFFFFF"/>
              </w:rPr>
            </w:pPr>
            <w:r w:rsidRPr="00AD3706">
              <w:rPr>
                <w:rFonts w:ascii="Georgia" w:hAnsi="Georgia" w:cs="Arial"/>
                <w:color w:val="202124"/>
                <w:sz w:val="18"/>
                <w:szCs w:val="18"/>
                <w:shd w:val="clear" w:color="auto" w:fill="FFFFFF"/>
              </w:rPr>
              <w:t>* El valor</w:t>
            </w:r>
            <w:r>
              <w:rPr>
                <w:rFonts w:ascii="Georgia" w:hAnsi="Georgia" w:cs="Arial"/>
                <w:color w:val="202124"/>
                <w:sz w:val="18"/>
                <w:szCs w:val="18"/>
                <w:shd w:val="clear" w:color="auto" w:fill="FFFFFF"/>
              </w:rPr>
              <w:t xml:space="preserve"> US $311,7 de subproductos es fijo</w:t>
            </w:r>
          </w:p>
        </w:tc>
      </w:tr>
    </w:tbl>
    <w:p w:rsidR="006857A0" w:rsidRDefault="006857A0" w:rsidP="006857A0">
      <w:pPr>
        <w:pStyle w:val="NormalWeb"/>
        <w:shd w:val="clear" w:color="auto" w:fill="FFFFFF"/>
        <w:spacing w:after="360" w:afterAutospacing="0"/>
        <w:jc w:val="both"/>
        <w:rPr>
          <w:rFonts w:ascii="Georgia" w:hAnsi="Georgia" w:cs="Arial"/>
          <w:b/>
          <w:color w:val="202124"/>
          <w:shd w:val="clear" w:color="auto" w:fill="FFFFFF"/>
        </w:rPr>
      </w:pPr>
      <w:r w:rsidRPr="0053140F">
        <w:rPr>
          <w:rFonts w:ascii="Georgia" w:hAnsi="Georgia" w:cs="Arial"/>
          <w:b/>
          <w:color w:val="202124"/>
          <w:sz w:val="28"/>
          <w:szCs w:val="28"/>
          <w:shd w:val="clear" w:color="auto" w:fill="FFFFFF"/>
        </w:rPr>
        <w:t>4</w:t>
      </w:r>
      <w:r>
        <w:rPr>
          <w:rFonts w:ascii="Georgia" w:hAnsi="Georgia" w:cs="Arial"/>
          <w:b/>
          <w:color w:val="202124"/>
          <w:shd w:val="clear" w:color="auto" w:fill="FFFFFF"/>
        </w:rPr>
        <w:t xml:space="preserve">  </w:t>
      </w:r>
      <w:r w:rsidRPr="0093648F">
        <w:rPr>
          <w:rFonts w:ascii="Georgia" w:hAnsi="Georgia" w:cs="Arial"/>
          <w:b/>
          <w:color w:val="202124"/>
          <w:shd w:val="clear" w:color="auto" w:fill="FFFFFF"/>
        </w:rPr>
        <w:t>Cuando las toneladas de fino se expresan en subproductos</w:t>
      </w:r>
    </w:p>
    <w:p w:rsidR="006857A0" w:rsidRDefault="006857A0" w:rsidP="006857A0">
      <w:pPr>
        <w:pStyle w:val="NormalWeb"/>
        <w:shd w:val="clear" w:color="auto" w:fill="FFFFFF"/>
        <w:spacing w:after="360" w:afterAutospacing="0"/>
        <w:jc w:val="both"/>
        <w:rPr>
          <w:rFonts w:ascii="Georgia" w:hAnsi="Georgia" w:cs="Arial"/>
          <w:color w:val="202124"/>
          <w:shd w:val="clear" w:color="auto" w:fill="FFFFFF"/>
        </w:rPr>
      </w:pPr>
      <w:r>
        <w:rPr>
          <w:rFonts w:ascii="Georgia" w:hAnsi="Georgia" w:cs="Arial"/>
          <w:color w:val="202124"/>
          <w:shd w:val="clear" w:color="auto" w:fill="FFFFFF"/>
        </w:rPr>
        <w:t>Ahora bien, como lo expresa el Cuadro n° 2, la relación de quantum entre el concentrado de cobre y los subproductos en Aurubis es 2,14 (5,10/2,37) Como lo expresamos más arriba según la estadística oficial, la información en MTF de la producción de cobre de Chile es de 5,7 MM de toneladas; si se mantiene la relación de 2,14 de toneladas de subproductos por toneladas de concentrados de MTF tendríamos una cantidad de exportación de concentrados de 12,2 MM de toneladas. No olvidar que estos resultados se refieren a una matriz de subproductos y concentrado de cobre del año 2019-2020.</w:t>
      </w:r>
    </w:p>
    <w:p w:rsidR="006857A0" w:rsidRDefault="006857A0" w:rsidP="006857A0">
      <w:pPr>
        <w:spacing w:line="240" w:lineRule="auto"/>
        <w:jc w:val="both"/>
        <w:rPr>
          <w:rFonts w:ascii="Georgia" w:hAnsi="Georgia"/>
          <w:color w:val="383838"/>
          <w:sz w:val="24"/>
          <w:szCs w:val="24"/>
        </w:rPr>
      </w:pPr>
      <w:r w:rsidRPr="00357ABB">
        <w:rPr>
          <w:rFonts w:ascii="Georgia" w:hAnsi="Georgia"/>
          <w:sz w:val="24"/>
          <w:szCs w:val="24"/>
          <w:lang w:val="es-MX"/>
        </w:rPr>
        <w:t xml:space="preserve">Los concentrados de cobre, 2.378.000 toneladas al precio de US $4,74 la libra se valorizan a </w:t>
      </w:r>
      <w:r w:rsidRPr="00357ABB">
        <w:rPr>
          <w:rFonts w:ascii="Georgia" w:eastAsia="Times New Roman" w:hAnsi="Georgia" w:cs="Calibri"/>
          <w:bCs/>
          <w:color w:val="000000"/>
          <w:sz w:val="24"/>
          <w:szCs w:val="24"/>
          <w:lang w:val="es-MX" w:eastAsia="es-MX"/>
        </w:rPr>
        <w:t xml:space="preserve">US $ </w:t>
      </w:r>
      <w:r>
        <w:rPr>
          <w:rFonts w:ascii="Georgia" w:eastAsia="Times New Roman" w:hAnsi="Georgia" w:cs="Calibri"/>
          <w:bCs/>
          <w:color w:val="000000"/>
          <w:sz w:val="24"/>
          <w:szCs w:val="24"/>
          <w:lang w:val="es-MX" w:eastAsia="es-MX"/>
        </w:rPr>
        <w:t>24, 797, 784,000</w:t>
      </w:r>
      <w:r w:rsidRPr="00357ABB">
        <w:rPr>
          <w:rFonts w:ascii="Georgia" w:eastAsia="Times New Roman" w:hAnsi="Georgia" w:cs="Calibri"/>
          <w:bCs/>
          <w:color w:val="000000"/>
          <w:sz w:val="24"/>
          <w:szCs w:val="24"/>
          <w:lang w:val="es-MX" w:eastAsia="es-MX"/>
        </w:rPr>
        <w:t>.</w:t>
      </w:r>
      <w:r w:rsidRPr="008C4E65">
        <w:rPr>
          <w:rFonts w:ascii="Georgia" w:eastAsia="Times New Roman" w:hAnsi="Georgia" w:cs="Calibri"/>
          <w:bCs/>
          <w:color w:val="000000"/>
          <w:sz w:val="24"/>
          <w:szCs w:val="24"/>
          <w:lang w:val="es-MX" w:eastAsia="es-MX"/>
        </w:rPr>
        <w:t xml:space="preserve"> En el Informe de Aurubi se registran 15 subproductos con un valor a precios de mercado de US $ 311</w:t>
      </w:r>
      <w:r w:rsidR="006E7E12" w:rsidRPr="008C4E65">
        <w:rPr>
          <w:rFonts w:ascii="Georgia" w:eastAsia="Times New Roman" w:hAnsi="Georgia" w:cs="Calibri"/>
          <w:bCs/>
          <w:color w:val="000000"/>
          <w:sz w:val="24"/>
          <w:szCs w:val="24"/>
          <w:lang w:val="es-MX" w:eastAsia="es-MX"/>
        </w:rPr>
        <w:t>, 771, 600,469</w:t>
      </w:r>
      <w:r w:rsidRPr="008C4E65">
        <w:rPr>
          <w:rFonts w:ascii="Georgia" w:eastAsia="Times New Roman" w:hAnsi="Georgia" w:cs="Calibri"/>
          <w:bCs/>
          <w:color w:val="000000"/>
          <w:sz w:val="24"/>
          <w:szCs w:val="24"/>
          <w:lang w:val="es-MX" w:eastAsia="es-MX"/>
        </w:rPr>
        <w:t>.</w:t>
      </w:r>
      <w:r>
        <w:rPr>
          <w:rFonts w:ascii="Georgia" w:eastAsia="Times New Roman" w:hAnsi="Georgia" w:cs="Calibri"/>
          <w:bCs/>
          <w:color w:val="000000"/>
          <w:sz w:val="24"/>
          <w:szCs w:val="24"/>
          <w:lang w:val="es-MX" w:eastAsia="es-MX"/>
        </w:rPr>
        <w:t xml:space="preserve"> Utilizo precios de mercado del mes de abril del año 2022. Estas cifras se refieren solo al valor de la producción. Ver Cuadro n° 3. El ácido sulfúrico, según los coeficientes estudiados en la investigación del profesor J. Camus, es el único subproducto que nos permite calcular las ganancias obtenidas con el insumo de 2,27 millones de toneladas, a saber: </w:t>
      </w:r>
      <w:r w:rsidRPr="00317107">
        <w:rPr>
          <w:rFonts w:ascii="Georgia" w:hAnsi="Georgia"/>
          <w:color w:val="383838"/>
          <w:sz w:val="24"/>
          <w:szCs w:val="24"/>
        </w:rPr>
        <w:t>US $ 3.808 millones</w:t>
      </w:r>
      <w:r>
        <w:rPr>
          <w:rFonts w:ascii="Georgia" w:hAnsi="Georgia"/>
          <w:color w:val="383838"/>
          <w:sz w:val="24"/>
          <w:szCs w:val="24"/>
        </w:rPr>
        <w:t xml:space="preserve"> </w:t>
      </w:r>
      <w:r>
        <w:rPr>
          <w:rFonts w:ascii="Georgia" w:eastAsia="Times New Roman" w:hAnsi="Georgia" w:cs="Calibri"/>
          <w:bCs/>
          <w:color w:val="000000"/>
          <w:sz w:val="24"/>
          <w:szCs w:val="24"/>
          <w:lang w:val="es-MX" w:eastAsia="es-MX"/>
        </w:rPr>
        <w:t xml:space="preserve">(ver Recuadro </w:t>
      </w:r>
      <w:r w:rsidR="00816543">
        <w:rPr>
          <w:rFonts w:ascii="Georgia" w:eastAsia="Times New Roman" w:hAnsi="Georgia" w:cs="Calibri"/>
          <w:bCs/>
          <w:color w:val="000000"/>
          <w:sz w:val="24"/>
          <w:szCs w:val="24"/>
          <w:lang w:val="es-MX" w:eastAsia="es-MX"/>
        </w:rPr>
        <w:t>1</w:t>
      </w:r>
      <w:r>
        <w:rPr>
          <w:rFonts w:ascii="Georgia" w:eastAsia="Times New Roman" w:hAnsi="Georgia" w:cs="Calibri"/>
          <w:bCs/>
          <w:color w:val="000000"/>
          <w:sz w:val="24"/>
          <w:szCs w:val="24"/>
          <w:lang w:val="es-MX" w:eastAsia="es-MX"/>
        </w:rPr>
        <w:t xml:space="preserve"> más abajo)</w:t>
      </w:r>
      <w:r>
        <w:rPr>
          <w:rFonts w:ascii="Georgia" w:hAnsi="Georgia"/>
          <w:color w:val="383838"/>
          <w:sz w:val="24"/>
          <w:szCs w:val="24"/>
        </w:rPr>
        <w:t>.</w:t>
      </w:r>
    </w:p>
    <w:p w:rsidR="00816543" w:rsidRDefault="00816543" w:rsidP="006857A0">
      <w:pPr>
        <w:spacing w:line="240" w:lineRule="auto"/>
        <w:jc w:val="both"/>
        <w:rPr>
          <w:rFonts w:ascii="Georgia" w:eastAsia="Times New Roman" w:hAnsi="Georgia" w:cs="Calibri"/>
          <w:bCs/>
          <w:color w:val="000000"/>
          <w:sz w:val="24"/>
          <w:szCs w:val="24"/>
          <w:lang w:val="es-MX" w:eastAsia="es-MX"/>
        </w:rPr>
      </w:pPr>
    </w:p>
    <w:tbl>
      <w:tblPr>
        <w:tblW w:w="6037" w:type="dxa"/>
        <w:tblInd w:w="1476" w:type="dxa"/>
        <w:tblCellMar>
          <w:left w:w="70" w:type="dxa"/>
          <w:right w:w="70" w:type="dxa"/>
        </w:tblCellMar>
        <w:tblLook w:val="04A0" w:firstRow="1" w:lastRow="0" w:firstColumn="1" w:lastColumn="0" w:noHBand="0" w:noVBand="1"/>
      </w:tblPr>
      <w:tblGrid>
        <w:gridCol w:w="1581"/>
        <w:gridCol w:w="1276"/>
        <w:gridCol w:w="1613"/>
        <w:gridCol w:w="1744"/>
      </w:tblGrid>
      <w:tr w:rsidR="006857A0" w:rsidRPr="00337F42" w:rsidTr="00585BC8">
        <w:trPr>
          <w:trHeight w:val="840"/>
        </w:trPr>
        <w:tc>
          <w:tcPr>
            <w:tcW w:w="6037" w:type="dxa"/>
            <w:gridSpan w:val="4"/>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r>
              <w:rPr>
                <w:rFonts w:ascii="Georgia" w:eastAsia="Times New Roman" w:hAnsi="Georgia" w:cs="Calibri"/>
                <w:color w:val="000000"/>
                <w:sz w:val="20"/>
                <w:szCs w:val="20"/>
                <w:lang w:val="es-MX" w:eastAsia="es-MX"/>
              </w:rPr>
              <w:t xml:space="preserve">Cuadro n° 3. </w:t>
            </w:r>
            <w:r w:rsidRPr="00337F42">
              <w:rPr>
                <w:rFonts w:ascii="Georgia" w:eastAsia="Times New Roman" w:hAnsi="Georgia" w:cs="Calibri"/>
                <w:color w:val="000000"/>
                <w:sz w:val="20"/>
                <w:szCs w:val="20"/>
                <w:lang w:val="es-MX" w:eastAsia="es-MX"/>
              </w:rPr>
              <w:t>Relación entre concentrados y subproducto</w:t>
            </w:r>
            <w:r w:rsidRPr="00470FC9">
              <w:rPr>
                <w:rFonts w:ascii="Georgia" w:eastAsia="Times New Roman" w:hAnsi="Georgia" w:cs="Calibri"/>
                <w:color w:val="000000"/>
                <w:sz w:val="20"/>
                <w:szCs w:val="20"/>
                <w:lang w:val="es-MX" w:eastAsia="es-MX"/>
              </w:rPr>
              <w:t>s</w:t>
            </w:r>
            <w:r w:rsidRPr="00337F42">
              <w:rPr>
                <w:rFonts w:ascii="Georgia" w:eastAsia="Times New Roman" w:hAnsi="Georgia" w:cs="Calibri"/>
                <w:color w:val="000000"/>
                <w:sz w:val="20"/>
                <w:szCs w:val="20"/>
                <w:lang w:val="es-MX" w:eastAsia="es-MX"/>
              </w:rPr>
              <w:t xml:space="preserve"> a valor de mercado, en</w:t>
            </w:r>
            <w:r w:rsidRPr="00470FC9">
              <w:rPr>
                <w:rFonts w:ascii="Georgia" w:eastAsia="Times New Roman" w:hAnsi="Georgia" w:cs="Calibri"/>
                <w:color w:val="000000"/>
                <w:sz w:val="20"/>
                <w:szCs w:val="20"/>
                <w:lang w:val="es-MX" w:eastAsia="es-MX"/>
              </w:rPr>
              <w:t xml:space="preserve"> dólares de </w:t>
            </w:r>
            <w:r>
              <w:rPr>
                <w:rFonts w:ascii="Georgia" w:eastAsia="Times New Roman" w:hAnsi="Georgia" w:cs="Calibri"/>
                <w:color w:val="000000"/>
                <w:sz w:val="20"/>
                <w:szCs w:val="20"/>
                <w:lang w:val="es-MX" w:eastAsia="es-MX"/>
              </w:rPr>
              <w:t xml:space="preserve">abril de </w:t>
            </w:r>
            <w:r w:rsidRPr="00470FC9">
              <w:rPr>
                <w:rFonts w:ascii="Georgia" w:eastAsia="Times New Roman" w:hAnsi="Georgia" w:cs="Calibri"/>
                <w:color w:val="000000"/>
                <w:sz w:val="20"/>
                <w:szCs w:val="20"/>
                <w:lang w:val="es-MX" w:eastAsia="es-MX"/>
              </w:rPr>
              <w:t>2022</w:t>
            </w:r>
          </w:p>
        </w:tc>
      </w:tr>
      <w:tr w:rsidR="006857A0" w:rsidRPr="00337F42" w:rsidTr="00585BC8">
        <w:trPr>
          <w:trHeight w:val="288"/>
        </w:trPr>
        <w:tc>
          <w:tcPr>
            <w:tcW w:w="2680" w:type="dxa"/>
            <w:gridSpan w:val="2"/>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4"/>
                <w:szCs w:val="24"/>
                <w:lang w:val="es-MX" w:eastAsia="es-MX"/>
              </w:rPr>
            </w:pP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lang w:val="es-MX" w:eastAsia="es-MX"/>
              </w:rPr>
            </w:pP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lang w:val="es-MX" w:eastAsia="es-MX"/>
              </w:rPr>
            </w:pP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bCs/>
                <w:color w:val="000000"/>
                <w:sz w:val="20"/>
                <w:szCs w:val="20"/>
                <w:lang w:val="es-MX" w:eastAsia="es-MX"/>
              </w:rPr>
            </w:pPr>
            <w:r>
              <w:rPr>
                <w:rFonts w:ascii="Georgia" w:eastAsia="Times New Roman" w:hAnsi="Georgia" w:cs="Calibri"/>
                <w:b/>
                <w:bCs/>
                <w:color w:val="000000"/>
                <w:sz w:val="20"/>
                <w:szCs w:val="20"/>
                <w:lang w:val="es-MX" w:eastAsia="es-MX"/>
              </w:rPr>
              <w:t>Subp</w:t>
            </w:r>
            <w:r w:rsidRPr="00337F42">
              <w:rPr>
                <w:rFonts w:ascii="Georgia" w:eastAsia="Times New Roman" w:hAnsi="Georgia" w:cs="Calibri"/>
                <w:b/>
                <w:bCs/>
                <w:color w:val="000000"/>
                <w:sz w:val="20"/>
                <w:szCs w:val="20"/>
                <w:lang w:val="es-MX" w:eastAsia="es-MX"/>
              </w:rPr>
              <w:t>roductos</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bCs/>
                <w:color w:val="000000"/>
                <w:sz w:val="20"/>
                <w:szCs w:val="20"/>
                <w:lang w:val="es-MX" w:eastAsia="es-MX"/>
              </w:rPr>
            </w:pPr>
            <w:r w:rsidRPr="00337F42">
              <w:rPr>
                <w:rFonts w:ascii="Georgia" w:eastAsia="Times New Roman" w:hAnsi="Georgia" w:cs="Calibri"/>
                <w:b/>
                <w:bCs/>
                <w:color w:val="000000"/>
                <w:sz w:val="20"/>
                <w:szCs w:val="20"/>
                <w:lang w:val="es-MX" w:eastAsia="es-MX"/>
              </w:rPr>
              <w:t>Toneladas</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bCs/>
                <w:color w:val="000000"/>
                <w:sz w:val="20"/>
                <w:szCs w:val="20"/>
                <w:lang w:val="es-MX" w:eastAsia="es-MX"/>
              </w:rPr>
            </w:pPr>
            <w:r w:rsidRPr="00337F42">
              <w:rPr>
                <w:rFonts w:ascii="Georgia" w:eastAsia="Times New Roman" w:hAnsi="Georgia" w:cs="Calibri"/>
                <w:b/>
                <w:bCs/>
                <w:color w:val="000000"/>
                <w:sz w:val="20"/>
                <w:szCs w:val="20"/>
                <w:lang w:val="es-MX" w:eastAsia="es-MX"/>
              </w:rPr>
              <w:t>Valor en US $</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bCs/>
                <w:color w:val="000000"/>
                <w:sz w:val="20"/>
                <w:szCs w:val="20"/>
                <w:lang w:val="es-MX" w:eastAsia="es-MX"/>
              </w:rPr>
            </w:pPr>
            <w:r w:rsidRPr="00337F42">
              <w:rPr>
                <w:rFonts w:ascii="Georgia" w:eastAsia="Times New Roman" w:hAnsi="Georgia" w:cs="Calibri"/>
                <w:b/>
                <w:bCs/>
                <w:color w:val="000000"/>
                <w:sz w:val="20"/>
                <w:szCs w:val="20"/>
                <w:lang w:val="es-MX" w:eastAsia="es-MX"/>
              </w:rPr>
              <w:t>Metales nobles</w:t>
            </w: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r w:rsidRPr="00337F42">
              <w:rPr>
                <w:rFonts w:ascii="Georgia" w:eastAsia="Times New Roman" w:hAnsi="Georgia" w:cs="Calibri"/>
                <w:color w:val="000000"/>
                <w:sz w:val="20"/>
                <w:szCs w:val="20"/>
                <w:lang w:val="es-MX" w:eastAsia="es-MX"/>
              </w:rPr>
              <w:t>reciclaje</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348,000</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2,165,100</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sz w:val="20"/>
                <w:szCs w:val="20"/>
                <w:lang w:val="es-MX" w:eastAsia="es-MX"/>
              </w:rPr>
            </w:pP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r w:rsidRPr="00337F42">
              <w:rPr>
                <w:rFonts w:ascii="Georgia" w:eastAsia="Times New Roman" w:hAnsi="Georgia" w:cs="Calibri"/>
                <w:color w:val="000000"/>
                <w:sz w:val="20"/>
                <w:szCs w:val="20"/>
                <w:lang w:val="es-MX" w:eastAsia="es-MX"/>
              </w:rPr>
              <w:t>desecho</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310,000</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930,000</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sz w:val="20"/>
                <w:szCs w:val="20"/>
                <w:lang w:val="es-MX" w:eastAsia="es-MX"/>
              </w:rPr>
            </w:pP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r w:rsidRPr="00337F42">
              <w:rPr>
                <w:rFonts w:ascii="Georgia" w:eastAsia="Times New Roman" w:hAnsi="Georgia" w:cs="Calibri"/>
                <w:color w:val="000000"/>
                <w:sz w:val="20"/>
                <w:szCs w:val="20"/>
                <w:lang w:val="es-MX" w:eastAsia="es-MX"/>
              </w:rPr>
              <w:t>cátodos</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1,031,000</w:t>
            </w:r>
            <w:r w:rsidRPr="00DD2A50">
              <w:rPr>
                <w:rFonts w:ascii="Georgia" w:eastAsia="Times New Roman" w:hAnsi="Georgia" w:cs="Calibri"/>
                <w:color w:val="000000"/>
                <w:sz w:val="18"/>
                <w:szCs w:val="18"/>
                <w:lang w:val="es-MX" w:eastAsia="es-MX"/>
              </w:rPr>
              <w:t>*</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3,048,281,927</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sz w:val="20"/>
                <w:szCs w:val="20"/>
                <w:lang w:val="es-MX" w:eastAsia="es-MX"/>
              </w:rPr>
            </w:pP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r w:rsidRPr="00337F42">
              <w:rPr>
                <w:rFonts w:ascii="Georgia" w:eastAsia="Times New Roman" w:hAnsi="Georgia" w:cs="Calibri"/>
                <w:color w:val="000000"/>
                <w:sz w:val="20"/>
                <w:szCs w:val="20"/>
                <w:lang w:val="es-MX" w:eastAsia="es-MX"/>
              </w:rPr>
              <w:t>alambrones</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759,000</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1,214,400,000</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sz w:val="20"/>
                <w:szCs w:val="20"/>
                <w:lang w:val="es-MX" w:eastAsia="es-MX"/>
              </w:rPr>
            </w:pP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r w:rsidRPr="00337F42">
              <w:rPr>
                <w:rFonts w:ascii="Georgia" w:eastAsia="Times New Roman" w:hAnsi="Georgia" w:cs="Calibri"/>
                <w:color w:val="000000"/>
                <w:sz w:val="20"/>
                <w:szCs w:val="20"/>
                <w:lang w:val="es-MX" w:eastAsia="es-MX"/>
              </w:rPr>
              <w:t>coppershapes</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154,000</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1,540,000,000</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sz w:val="20"/>
                <w:szCs w:val="20"/>
                <w:lang w:val="es-MX" w:eastAsia="es-MX"/>
              </w:rPr>
            </w:pP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r w:rsidRPr="00337F42">
              <w:rPr>
                <w:rFonts w:ascii="Georgia" w:eastAsia="Times New Roman" w:hAnsi="Georgia" w:cs="Calibri"/>
                <w:color w:val="000000"/>
                <w:sz w:val="20"/>
                <w:szCs w:val="20"/>
                <w:lang w:val="es-MX" w:eastAsia="es-MX"/>
              </w:rPr>
              <w:t>planchas Cu</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178,000</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2,225,000,000</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sz w:val="20"/>
                <w:szCs w:val="20"/>
                <w:lang w:val="es-MX" w:eastAsia="es-MX"/>
              </w:rPr>
            </w:pP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r w:rsidRPr="00DD2A50">
              <w:rPr>
                <w:rFonts w:ascii="Georgia" w:eastAsia="Times New Roman" w:hAnsi="Georgia" w:cs="Calibri"/>
                <w:color w:val="000000"/>
                <w:sz w:val="20"/>
                <w:szCs w:val="20"/>
                <w:lang w:val="es-MX" w:eastAsia="es-MX"/>
              </w:rPr>
              <w:t>ácido sulfúrico</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2,272,000</w:t>
            </w:r>
            <w:r w:rsidRPr="00DD2A50">
              <w:rPr>
                <w:rFonts w:ascii="Georgia" w:eastAsia="Times New Roman" w:hAnsi="Georgia" w:cs="Calibri"/>
                <w:color w:val="000000"/>
                <w:sz w:val="18"/>
                <w:szCs w:val="18"/>
                <w:lang w:val="es-MX" w:eastAsia="es-MX"/>
              </w:rPr>
              <w:t>**</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318,080,000</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sz w:val="20"/>
                <w:szCs w:val="20"/>
                <w:lang w:val="es-MX" w:eastAsia="es-MX"/>
              </w:rPr>
            </w:pP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bCs/>
                <w:color w:val="000000"/>
                <w:sz w:val="20"/>
                <w:szCs w:val="20"/>
                <w:lang w:val="es-MX" w:eastAsia="es-MX"/>
              </w:rPr>
            </w:pPr>
            <w:r w:rsidRPr="00337F42">
              <w:rPr>
                <w:rFonts w:ascii="Georgia" w:eastAsia="Times New Roman" w:hAnsi="Georgia" w:cs="Calibri"/>
                <w:b/>
                <w:bCs/>
                <w:color w:val="000000"/>
                <w:sz w:val="20"/>
                <w:szCs w:val="20"/>
                <w:lang w:val="es-MX" w:eastAsia="es-MX"/>
              </w:rPr>
              <w:t>oro</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bCs/>
                <w:color w:val="000000"/>
                <w:sz w:val="18"/>
                <w:szCs w:val="18"/>
                <w:lang w:val="es-MX" w:eastAsia="es-MX"/>
              </w:rPr>
            </w:pPr>
            <w:r w:rsidRPr="00337F42">
              <w:rPr>
                <w:rFonts w:ascii="Georgia" w:eastAsia="Times New Roman" w:hAnsi="Georgia" w:cs="Calibri"/>
                <w:b/>
                <w:bCs/>
                <w:color w:val="000000"/>
                <w:sz w:val="18"/>
                <w:szCs w:val="18"/>
                <w:lang w:val="es-MX" w:eastAsia="es-MX"/>
              </w:rPr>
              <w:t>47</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2,867,000,000</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 xml:space="preserve">       2,867,000,000 </w:t>
            </w: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bCs/>
                <w:color w:val="000000"/>
                <w:sz w:val="20"/>
                <w:szCs w:val="20"/>
                <w:lang w:val="es-MX" w:eastAsia="es-MX"/>
              </w:rPr>
            </w:pPr>
            <w:r w:rsidRPr="00337F42">
              <w:rPr>
                <w:rFonts w:ascii="Georgia" w:eastAsia="Times New Roman" w:hAnsi="Georgia" w:cs="Calibri"/>
                <w:b/>
                <w:bCs/>
                <w:color w:val="000000"/>
                <w:sz w:val="20"/>
                <w:szCs w:val="20"/>
                <w:lang w:val="es-MX" w:eastAsia="es-MX"/>
              </w:rPr>
              <w:t>plata</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bCs/>
                <w:color w:val="000000"/>
                <w:sz w:val="18"/>
                <w:szCs w:val="18"/>
                <w:lang w:val="es-MX" w:eastAsia="es-MX"/>
              </w:rPr>
            </w:pPr>
            <w:r w:rsidRPr="00337F42">
              <w:rPr>
                <w:rFonts w:ascii="Georgia" w:eastAsia="Times New Roman" w:hAnsi="Georgia" w:cs="Calibri"/>
                <w:b/>
                <w:bCs/>
                <w:color w:val="000000"/>
                <w:sz w:val="18"/>
                <w:szCs w:val="18"/>
                <w:lang w:val="es-MX" w:eastAsia="es-MX"/>
              </w:rPr>
              <w:t>972</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801,822,240</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 xml:space="preserve">          801,822,240 </w:t>
            </w: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r w:rsidRPr="00337F42">
              <w:rPr>
                <w:rFonts w:ascii="Georgia" w:eastAsia="Times New Roman" w:hAnsi="Georgia" w:cs="Calibri"/>
                <w:color w:val="000000"/>
                <w:sz w:val="20"/>
                <w:szCs w:val="20"/>
                <w:lang w:val="es-MX" w:eastAsia="es-MX"/>
              </w:rPr>
              <w:t>plomo</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28,014</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67,662,933</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 xml:space="preserve">   299,371,482,454 </w:t>
            </w: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r w:rsidRPr="00337F42">
              <w:rPr>
                <w:rFonts w:ascii="Georgia" w:eastAsia="Times New Roman" w:hAnsi="Georgia" w:cs="Calibri"/>
                <w:color w:val="000000"/>
                <w:sz w:val="20"/>
                <w:szCs w:val="20"/>
                <w:lang w:val="es-MX" w:eastAsia="es-MX"/>
              </w:rPr>
              <w:t>niquel</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3,395</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114,581,250</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Georgia" w:eastAsia="Times New Roman" w:hAnsi="Georgia" w:cs="Calibri"/>
                <w:b/>
                <w:bCs/>
                <w:color w:val="000000"/>
                <w:sz w:val="18"/>
                <w:szCs w:val="18"/>
                <w:lang w:val="es-MX" w:eastAsia="es-MX"/>
              </w:rPr>
            </w:pPr>
            <w:r w:rsidRPr="00337F42">
              <w:rPr>
                <w:rFonts w:ascii="Georgia" w:eastAsia="Times New Roman" w:hAnsi="Georgia" w:cs="Calibri"/>
                <w:b/>
                <w:bCs/>
                <w:color w:val="000000"/>
                <w:sz w:val="18"/>
                <w:szCs w:val="18"/>
                <w:lang w:val="es-MX" w:eastAsia="es-MX"/>
              </w:rPr>
              <w:t xml:space="preserve">  303,040,304,694 </w:t>
            </w: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r w:rsidRPr="00337F42">
              <w:rPr>
                <w:rFonts w:ascii="Georgia" w:eastAsia="Times New Roman" w:hAnsi="Georgia" w:cs="Calibri"/>
                <w:color w:val="000000"/>
                <w:sz w:val="20"/>
                <w:szCs w:val="20"/>
                <w:lang w:val="es-MX" w:eastAsia="es-MX"/>
              </w:rPr>
              <w:t>estaño</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4,213</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180,569,180</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sz w:val="20"/>
                <w:szCs w:val="20"/>
                <w:lang w:val="es-MX" w:eastAsia="es-MX"/>
              </w:rPr>
            </w:pP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r w:rsidRPr="00337F42">
              <w:rPr>
                <w:rFonts w:ascii="Georgia" w:eastAsia="Times New Roman" w:hAnsi="Georgia" w:cs="Calibri"/>
                <w:color w:val="000000"/>
                <w:sz w:val="20"/>
                <w:szCs w:val="20"/>
                <w:lang w:val="es-MX" w:eastAsia="es-MX"/>
              </w:rPr>
              <w:t>zinc</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3,565</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16,074,585</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sz w:val="20"/>
                <w:szCs w:val="20"/>
                <w:lang w:val="es-MX" w:eastAsia="es-MX"/>
              </w:rPr>
            </w:pP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r w:rsidRPr="00337F42">
              <w:rPr>
                <w:rFonts w:ascii="Georgia" w:eastAsia="Times New Roman" w:hAnsi="Georgia" w:cs="Calibri"/>
                <w:color w:val="000000"/>
                <w:sz w:val="20"/>
                <w:szCs w:val="20"/>
                <w:lang w:val="es-MX" w:eastAsia="es-MX"/>
              </w:rPr>
              <w:t>metalesmenor</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807</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3,550,800</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sz w:val="20"/>
                <w:szCs w:val="20"/>
                <w:lang w:val="es-MX" w:eastAsia="es-MX"/>
              </w:rPr>
            </w:pP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bCs/>
                <w:color w:val="000000"/>
                <w:sz w:val="20"/>
                <w:szCs w:val="20"/>
                <w:lang w:val="es-MX" w:eastAsia="es-MX"/>
              </w:rPr>
            </w:pPr>
            <w:r w:rsidRPr="00337F42">
              <w:rPr>
                <w:rFonts w:ascii="Georgia" w:eastAsia="Times New Roman" w:hAnsi="Georgia" w:cs="Calibri"/>
                <w:b/>
                <w:bCs/>
                <w:color w:val="000000"/>
                <w:sz w:val="20"/>
                <w:szCs w:val="20"/>
                <w:lang w:val="es-MX" w:eastAsia="es-MX"/>
              </w:rPr>
              <w:t>platino</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bCs/>
                <w:color w:val="000000"/>
                <w:sz w:val="18"/>
                <w:szCs w:val="18"/>
                <w:lang w:val="es-MX" w:eastAsia="es-MX"/>
              </w:rPr>
            </w:pPr>
            <w:r w:rsidRPr="00337F42">
              <w:rPr>
                <w:rFonts w:ascii="Georgia" w:eastAsia="Times New Roman" w:hAnsi="Georgia" w:cs="Calibri"/>
                <w:b/>
                <w:bCs/>
                <w:color w:val="000000"/>
                <w:sz w:val="18"/>
                <w:szCs w:val="18"/>
                <w:lang w:val="es-MX" w:eastAsia="es-MX"/>
              </w:rPr>
              <w:t>8,935</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r w:rsidRPr="00337F42">
              <w:rPr>
                <w:rFonts w:ascii="Georgia" w:eastAsia="Times New Roman" w:hAnsi="Georgia" w:cs="Calibri"/>
                <w:color w:val="000000"/>
                <w:sz w:val="18"/>
                <w:szCs w:val="18"/>
                <w:lang w:val="es-MX" w:eastAsia="es-MX"/>
              </w:rPr>
              <w:t>299,371,482,454</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sz w:val="20"/>
                <w:szCs w:val="20"/>
                <w:lang w:val="es-MX" w:eastAsia="es-MX"/>
              </w:rPr>
            </w:pP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20"/>
                <w:szCs w:val="20"/>
                <w:lang w:val="es-MX" w:eastAsia="es-MX"/>
              </w:rPr>
            </w:pP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color w:val="000000"/>
                <w:sz w:val="18"/>
                <w:szCs w:val="18"/>
                <w:lang w:val="es-MX" w:eastAsia="es-MX"/>
              </w:rPr>
            </w:pP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bCs/>
                <w:color w:val="000000"/>
                <w:sz w:val="18"/>
                <w:szCs w:val="18"/>
                <w:lang w:val="es-MX" w:eastAsia="es-MX"/>
              </w:rPr>
            </w:pPr>
            <w:r w:rsidRPr="00337F42">
              <w:rPr>
                <w:rFonts w:ascii="Georgia" w:eastAsia="Times New Roman" w:hAnsi="Georgia" w:cs="Calibri"/>
                <w:b/>
                <w:bCs/>
                <w:color w:val="000000"/>
                <w:sz w:val="18"/>
                <w:szCs w:val="18"/>
                <w:lang w:val="es-MX" w:eastAsia="es-MX"/>
              </w:rPr>
              <w:t>311,771,600,469</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sz w:val="20"/>
                <w:szCs w:val="20"/>
                <w:lang w:val="es-MX" w:eastAsia="es-MX"/>
              </w:rPr>
            </w:pPr>
          </w:p>
        </w:tc>
      </w:tr>
      <w:tr w:rsidR="006857A0" w:rsidRPr="00337F42" w:rsidTr="00585BC8">
        <w:trPr>
          <w:trHeight w:val="288"/>
        </w:trPr>
        <w:tc>
          <w:tcPr>
            <w:tcW w:w="140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bCs/>
                <w:color w:val="000000"/>
                <w:sz w:val="20"/>
                <w:szCs w:val="20"/>
                <w:lang w:val="es-MX" w:eastAsia="es-MX"/>
              </w:rPr>
            </w:pPr>
            <w:r w:rsidRPr="00337F42">
              <w:rPr>
                <w:rFonts w:ascii="Georgia" w:eastAsia="Times New Roman" w:hAnsi="Georgia" w:cs="Calibri"/>
                <w:b/>
                <w:bCs/>
                <w:color w:val="000000"/>
                <w:sz w:val="20"/>
                <w:szCs w:val="20"/>
                <w:lang w:val="es-MX" w:eastAsia="es-MX"/>
              </w:rPr>
              <w:t>Conc. Cu</w:t>
            </w:r>
          </w:p>
        </w:tc>
        <w:tc>
          <w:tcPr>
            <w:tcW w:w="1276"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color w:val="000000"/>
                <w:sz w:val="18"/>
                <w:szCs w:val="18"/>
                <w:lang w:val="es-MX" w:eastAsia="es-MX"/>
              </w:rPr>
            </w:pPr>
            <w:r w:rsidRPr="00337F42">
              <w:rPr>
                <w:rFonts w:ascii="Georgia" w:eastAsia="Times New Roman" w:hAnsi="Georgia" w:cs="Calibri"/>
                <w:b/>
                <w:color w:val="000000"/>
                <w:sz w:val="18"/>
                <w:szCs w:val="18"/>
                <w:lang w:val="es-MX" w:eastAsia="es-MX"/>
              </w:rPr>
              <w:t>2,378,000</w:t>
            </w:r>
          </w:p>
        </w:tc>
        <w:tc>
          <w:tcPr>
            <w:tcW w:w="1613"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jc w:val="center"/>
              <w:rPr>
                <w:rFonts w:ascii="Georgia" w:eastAsia="Times New Roman" w:hAnsi="Georgia" w:cs="Calibri"/>
                <w:b/>
                <w:bCs/>
                <w:color w:val="000000"/>
                <w:sz w:val="18"/>
                <w:szCs w:val="18"/>
                <w:lang w:val="es-MX" w:eastAsia="es-MX"/>
              </w:rPr>
            </w:pPr>
            <w:r>
              <w:rPr>
                <w:rFonts w:ascii="Georgia" w:eastAsia="Times New Roman" w:hAnsi="Georgia" w:cs="Calibri"/>
                <w:b/>
                <w:bCs/>
                <w:color w:val="000000"/>
                <w:sz w:val="18"/>
                <w:szCs w:val="18"/>
                <w:lang w:val="es-MX" w:eastAsia="es-MX"/>
              </w:rPr>
              <w:t>24,797,784,000</w:t>
            </w:r>
          </w:p>
        </w:tc>
        <w:tc>
          <w:tcPr>
            <w:tcW w:w="1744" w:type="dxa"/>
            <w:tcBorders>
              <w:top w:val="nil"/>
              <w:left w:val="nil"/>
              <w:bottom w:val="nil"/>
              <w:right w:val="nil"/>
            </w:tcBorders>
            <w:shd w:val="clear" w:color="auto" w:fill="auto"/>
            <w:noWrap/>
            <w:vAlign w:val="bottom"/>
            <w:hideMark/>
          </w:tcPr>
          <w:p w:rsidR="006857A0" w:rsidRPr="00337F42" w:rsidRDefault="006857A0" w:rsidP="00585BC8">
            <w:pPr>
              <w:spacing w:after="0" w:line="240" w:lineRule="auto"/>
              <w:rPr>
                <w:rFonts w:ascii="Calibri" w:eastAsia="Times New Roman" w:hAnsi="Calibri" w:cs="Calibri"/>
                <w:color w:val="000000"/>
                <w:sz w:val="20"/>
                <w:szCs w:val="20"/>
                <w:lang w:val="es-MX" w:eastAsia="es-MX"/>
              </w:rPr>
            </w:pPr>
          </w:p>
        </w:tc>
      </w:tr>
    </w:tbl>
    <w:p w:rsidR="006857A0" w:rsidRDefault="006857A0" w:rsidP="006857A0">
      <w:pPr>
        <w:pStyle w:val="NormalWeb"/>
        <w:pBdr>
          <w:top w:val="single" w:sz="4" w:space="1" w:color="auto"/>
          <w:left w:val="single" w:sz="4" w:space="4" w:color="auto"/>
          <w:bottom w:val="single" w:sz="4" w:space="1" w:color="auto"/>
          <w:right w:val="single" w:sz="4" w:space="4" w:color="auto"/>
        </w:pBdr>
        <w:shd w:val="clear" w:color="auto" w:fill="FFFFFF"/>
        <w:spacing w:after="360" w:afterAutospacing="0"/>
        <w:jc w:val="both"/>
        <w:rPr>
          <w:rFonts w:ascii="Georgia" w:eastAsia="Times New Roman" w:hAnsi="Georgia" w:cs="Calibri"/>
          <w:b/>
          <w:bCs/>
          <w:color w:val="000000"/>
          <w:sz w:val="20"/>
          <w:szCs w:val="20"/>
          <w:lang w:val="es-MX" w:eastAsia="es-MX"/>
        </w:rPr>
      </w:pPr>
      <w:r>
        <w:rPr>
          <w:rFonts w:ascii="Georgia" w:eastAsia="Times New Roman" w:hAnsi="Georgia" w:cs="Calibri"/>
          <w:b/>
          <w:bCs/>
          <w:color w:val="000000"/>
          <w:sz w:val="20"/>
          <w:szCs w:val="20"/>
          <w:lang w:val="es-MX" w:eastAsia="es-MX"/>
        </w:rPr>
        <w:t>RECUADRO 1: * Nota y ** ácido sulfúrico</w:t>
      </w:r>
    </w:p>
    <w:p w:rsidR="006857A0" w:rsidRPr="00A76163" w:rsidRDefault="006857A0" w:rsidP="006857A0">
      <w:pPr>
        <w:pStyle w:val="NormalWeb"/>
        <w:pBdr>
          <w:top w:val="single" w:sz="4" w:space="1" w:color="auto"/>
          <w:left w:val="single" w:sz="4" w:space="4" w:color="auto"/>
          <w:bottom w:val="single" w:sz="4" w:space="1" w:color="auto"/>
          <w:right w:val="single" w:sz="4" w:space="4" w:color="auto"/>
        </w:pBdr>
        <w:shd w:val="clear" w:color="auto" w:fill="FFFFFF"/>
        <w:spacing w:after="360" w:afterAutospacing="0"/>
        <w:jc w:val="both"/>
        <w:rPr>
          <w:rFonts w:ascii="Georgia" w:eastAsia="Times New Roman" w:hAnsi="Georgia" w:cs="Calibri"/>
          <w:b/>
          <w:bCs/>
          <w:color w:val="000000"/>
          <w:sz w:val="20"/>
          <w:szCs w:val="20"/>
          <w:lang w:val="es-MX" w:eastAsia="es-MX"/>
        </w:rPr>
      </w:pPr>
      <w:r w:rsidRPr="00DD2A50">
        <w:rPr>
          <w:rFonts w:ascii="Georgia" w:eastAsia="Times New Roman" w:hAnsi="Georgia" w:cs="Calibri"/>
          <w:b/>
          <w:bCs/>
          <w:color w:val="000000"/>
          <w:sz w:val="20"/>
          <w:szCs w:val="20"/>
          <w:lang w:val="es-MX" w:eastAsia="es-MX"/>
        </w:rPr>
        <w:t>NOTAS</w:t>
      </w:r>
      <w:r>
        <w:rPr>
          <w:rFonts w:ascii="Georgia" w:eastAsia="Times New Roman" w:hAnsi="Georgia" w:cs="Calibri"/>
          <w:b/>
          <w:bCs/>
          <w:color w:val="000000"/>
          <w:sz w:val="20"/>
          <w:szCs w:val="20"/>
          <w:lang w:val="es-MX" w:eastAsia="es-MX"/>
        </w:rPr>
        <w:br/>
      </w:r>
      <w:r w:rsidRPr="00470FC9">
        <w:rPr>
          <w:rFonts w:ascii="Georgia" w:eastAsia="Times New Roman" w:hAnsi="Georgia" w:cs="Calibri"/>
          <w:bCs/>
          <w:color w:val="000000"/>
          <w:sz w:val="20"/>
          <w:szCs w:val="20"/>
          <w:lang w:val="es-MX" w:eastAsia="es-MX"/>
        </w:rPr>
        <w:t xml:space="preserve">* En las </w:t>
      </w:r>
      <w:r w:rsidRPr="00470FC9">
        <w:rPr>
          <w:rFonts w:ascii="Georgia" w:hAnsi="Georgia"/>
          <w:sz w:val="20"/>
          <w:szCs w:val="20"/>
          <w:lang w:val="es-MX"/>
        </w:rPr>
        <w:t xml:space="preserve">1.031.000 toneladas de cobre debe hacerse una diferencia, 309.300 Ton de cátodos de cobre (30%) </w:t>
      </w:r>
      <w:r>
        <w:rPr>
          <w:rFonts w:ascii="Georgia" w:hAnsi="Georgia"/>
          <w:sz w:val="20"/>
          <w:szCs w:val="20"/>
          <w:lang w:val="es-MX"/>
        </w:rPr>
        <w:t>sometidos</w:t>
      </w:r>
      <w:r w:rsidRPr="00470FC9">
        <w:rPr>
          <w:rFonts w:ascii="Georgia" w:hAnsi="Georgia"/>
          <w:sz w:val="20"/>
          <w:szCs w:val="20"/>
          <w:lang w:val="es-MX"/>
        </w:rPr>
        <w:t xml:space="preserve"> a procesos de fundición y refinación, el resto 721.700 Ton se refiere al reciclaje de materiales electrónicos y chatarra de cobre</w:t>
      </w:r>
      <w:r>
        <w:rPr>
          <w:rFonts w:ascii="Georgia" w:hAnsi="Georgia"/>
          <w:sz w:val="20"/>
          <w:szCs w:val="20"/>
          <w:lang w:val="es-MX"/>
        </w:rPr>
        <w:t>.</w:t>
      </w:r>
    </w:p>
    <w:p w:rsidR="006857A0" w:rsidRDefault="006857A0" w:rsidP="006857A0">
      <w:p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Calibri"/>
          <w:b/>
          <w:bCs/>
          <w:color w:val="000000"/>
          <w:lang w:val="es-MX" w:eastAsia="es-MX"/>
        </w:rPr>
      </w:pPr>
      <w:r>
        <w:rPr>
          <w:rFonts w:ascii="Calibri" w:eastAsia="Times New Roman" w:hAnsi="Calibri" w:cs="Calibri"/>
          <w:b/>
          <w:bCs/>
          <w:color w:val="000000"/>
          <w:lang w:val="es-MX" w:eastAsia="es-MX"/>
        </w:rPr>
        <w:t xml:space="preserve">**  </w:t>
      </w:r>
      <w:r w:rsidRPr="008C4E65">
        <w:rPr>
          <w:rFonts w:ascii="Georgia" w:hAnsi="Georgia"/>
          <w:sz w:val="20"/>
          <w:szCs w:val="20"/>
          <w:lang w:val="es-MX"/>
        </w:rPr>
        <w:t xml:space="preserve">2.272.000 Ton de ácido sulfúrico, es la producción de Aurubis, aprovechando el SO2 contenidos en los gases de la fundición. Aplicando </w:t>
      </w:r>
      <w:r w:rsidRPr="008C4E65">
        <w:rPr>
          <w:rFonts w:ascii="Georgia" w:hAnsi="Georgia"/>
          <w:color w:val="383838"/>
          <w:sz w:val="20"/>
          <w:szCs w:val="20"/>
        </w:rPr>
        <w:t xml:space="preserve"> los coeficientes del estudio de</w:t>
      </w:r>
      <w:r>
        <w:rPr>
          <w:rFonts w:ascii="Georgia" w:hAnsi="Georgia"/>
          <w:color w:val="383838"/>
          <w:sz w:val="20"/>
          <w:szCs w:val="20"/>
        </w:rPr>
        <w:t>l Profesor</w:t>
      </w:r>
      <w:r w:rsidRPr="008C4E65">
        <w:rPr>
          <w:rFonts w:ascii="Georgia" w:hAnsi="Georgia"/>
          <w:color w:val="383838"/>
          <w:sz w:val="20"/>
          <w:szCs w:val="20"/>
        </w:rPr>
        <w:t xml:space="preserve"> Juan Camus</w:t>
      </w:r>
      <w:r>
        <w:rPr>
          <w:rFonts w:ascii="Georgia" w:hAnsi="Georgia"/>
          <w:color w:val="383838"/>
          <w:sz w:val="20"/>
          <w:szCs w:val="20"/>
        </w:rPr>
        <w:t xml:space="preserve"> de la Universidad de Playa Ancha</w:t>
      </w:r>
      <w:r w:rsidRPr="00FA1307">
        <w:rPr>
          <w:rFonts w:ascii="Georgia" w:hAnsi="Georgia"/>
          <w:b/>
          <w:color w:val="383838"/>
          <w:sz w:val="28"/>
          <w:szCs w:val="28"/>
          <w:vertAlign w:val="superscript"/>
        </w:rPr>
        <w:t>1</w:t>
      </w:r>
      <w:r w:rsidRPr="008C4E65">
        <w:rPr>
          <w:rFonts w:ascii="Georgia" w:hAnsi="Georgia"/>
          <w:color w:val="383838"/>
          <w:sz w:val="20"/>
          <w:szCs w:val="20"/>
        </w:rPr>
        <w:t>, los 2.272.000 T</w:t>
      </w:r>
      <w:r>
        <w:rPr>
          <w:rFonts w:ascii="Georgia" w:hAnsi="Georgia"/>
          <w:color w:val="383838"/>
          <w:sz w:val="20"/>
          <w:szCs w:val="20"/>
        </w:rPr>
        <w:t>on</w:t>
      </w:r>
      <w:r w:rsidRPr="008C4E65">
        <w:rPr>
          <w:rFonts w:ascii="Georgia" w:hAnsi="Georgia"/>
          <w:color w:val="383838"/>
          <w:sz w:val="20"/>
          <w:szCs w:val="20"/>
        </w:rPr>
        <w:t xml:space="preserve"> de ácido sulfúrico – su precio fluctúa entre US $ 130 y US $ 140 la tonelada – suponen la producción en fundiciones de Aurubi de 200.470 T</w:t>
      </w:r>
      <w:r>
        <w:rPr>
          <w:rFonts w:ascii="Georgia" w:hAnsi="Georgia"/>
          <w:color w:val="383838"/>
          <w:sz w:val="20"/>
          <w:szCs w:val="20"/>
        </w:rPr>
        <w:t>on</w:t>
      </w:r>
      <w:r w:rsidRPr="008C4E65">
        <w:rPr>
          <w:rFonts w:ascii="Georgia" w:hAnsi="Georgia"/>
          <w:color w:val="383838"/>
          <w:sz w:val="20"/>
          <w:szCs w:val="20"/>
        </w:rPr>
        <w:t xml:space="preserve"> de azufre, es decir a un precio de US $420 por tonelada, el costo del azufre significa US $89 millones 197 mil. El valor total de la producción de 2 millones T</w:t>
      </w:r>
      <w:r>
        <w:rPr>
          <w:rFonts w:ascii="Georgia" w:hAnsi="Georgia"/>
          <w:color w:val="383838"/>
          <w:sz w:val="20"/>
          <w:szCs w:val="20"/>
        </w:rPr>
        <w:t>on</w:t>
      </w:r>
      <w:r w:rsidRPr="008C4E65">
        <w:rPr>
          <w:rFonts w:ascii="Georgia" w:hAnsi="Georgia"/>
          <w:color w:val="383838"/>
          <w:sz w:val="20"/>
          <w:szCs w:val="20"/>
        </w:rPr>
        <w:t xml:space="preserve"> de ácido sulfúrico a US $140 la T</w:t>
      </w:r>
      <w:r>
        <w:rPr>
          <w:rFonts w:ascii="Georgia" w:hAnsi="Georgia"/>
          <w:color w:val="383838"/>
          <w:sz w:val="20"/>
          <w:szCs w:val="20"/>
        </w:rPr>
        <w:t>on</w:t>
      </w:r>
      <w:r w:rsidRPr="008C4E65">
        <w:rPr>
          <w:rFonts w:ascii="Georgia" w:hAnsi="Georgia"/>
          <w:color w:val="383838"/>
          <w:sz w:val="20"/>
          <w:szCs w:val="20"/>
        </w:rPr>
        <w:t xml:space="preserve"> es de US $318 millones, lo que equivale a 3,15 veces el costo del azufre necesario en la producción de 2.2 millones de T de ácido sulfúrico. Con un precio de la libra de cobre de US $4.74 y una producción de cobre electrolítico de 668.235 T</w:t>
      </w:r>
      <w:r>
        <w:rPr>
          <w:rFonts w:ascii="Georgia" w:hAnsi="Georgia"/>
          <w:color w:val="383838"/>
          <w:sz w:val="20"/>
          <w:szCs w:val="20"/>
        </w:rPr>
        <w:t>on</w:t>
      </w:r>
      <w:r w:rsidRPr="008C4E65">
        <w:rPr>
          <w:rFonts w:ascii="Georgia" w:hAnsi="Georgia"/>
          <w:color w:val="383838"/>
          <w:sz w:val="20"/>
          <w:szCs w:val="20"/>
        </w:rPr>
        <w:t>, que está a la base de la producción de los 2,2 millones de toneladas de ácido sulfúrico registrado por Aurubi, tenemos una ganancia neta de US $2,59 por libra de cobre vendida (=4,74 – 2,15). Suponemos como costo C3 (Cash costs + depreciaciones + intereses + costos indirectos) US $2,15. Reduciendo las toneladas a libras y aplicando el precio de US $4.74 la libra tenemos una ganancia en las 668 mil T</w:t>
      </w:r>
      <w:r>
        <w:rPr>
          <w:rFonts w:ascii="Georgia" w:hAnsi="Georgia"/>
          <w:color w:val="383838"/>
          <w:sz w:val="20"/>
          <w:szCs w:val="20"/>
        </w:rPr>
        <w:t>on</w:t>
      </w:r>
      <w:r w:rsidRPr="008C4E65">
        <w:rPr>
          <w:rFonts w:ascii="Georgia" w:hAnsi="Georgia"/>
          <w:color w:val="383838"/>
          <w:sz w:val="20"/>
          <w:szCs w:val="20"/>
        </w:rPr>
        <w:t xml:space="preserve"> de cobre de US $ 3.808 millones (=US $ 6.968 millones – US $ 3.160 millones). En conclusión el costo del azufre necesario en la producción del ácido sulfúrico está pagado así como el valor de los 2,2 millones de T</w:t>
      </w:r>
      <w:r>
        <w:rPr>
          <w:rFonts w:ascii="Georgia" w:hAnsi="Georgia"/>
          <w:color w:val="383838"/>
          <w:sz w:val="20"/>
          <w:szCs w:val="20"/>
        </w:rPr>
        <w:t>on</w:t>
      </w:r>
      <w:r w:rsidRPr="008C4E65">
        <w:rPr>
          <w:rFonts w:ascii="Georgia" w:hAnsi="Georgia"/>
          <w:color w:val="383838"/>
          <w:sz w:val="20"/>
          <w:szCs w:val="20"/>
        </w:rPr>
        <w:t xml:space="preserve"> de ácido sulfúrico que representa un 10% de los costos de producción del cobre electrolítico producido.</w:t>
      </w:r>
    </w:p>
    <w:p w:rsidR="006857A0" w:rsidRPr="00FA1307" w:rsidRDefault="006E7E12" w:rsidP="006857A0">
      <w:pPr>
        <w:pBdr>
          <w:top w:val="single" w:sz="4" w:space="1" w:color="auto"/>
          <w:left w:val="single" w:sz="4" w:space="4" w:color="auto"/>
          <w:bottom w:val="single" w:sz="4" w:space="1" w:color="auto"/>
          <w:right w:val="single" w:sz="4" w:space="4" w:color="auto"/>
        </w:pBdr>
        <w:spacing w:line="240" w:lineRule="auto"/>
        <w:jc w:val="both"/>
        <w:rPr>
          <w:rFonts w:ascii="Georgia" w:eastAsia="Times New Roman" w:hAnsi="Georgia" w:cs="Calibri"/>
          <w:bCs/>
          <w:color w:val="000000"/>
          <w:sz w:val="20"/>
          <w:szCs w:val="20"/>
          <w:lang w:val="es-MX" w:eastAsia="es-MX"/>
        </w:rPr>
      </w:pPr>
      <w:r w:rsidRPr="00FA1307">
        <w:rPr>
          <w:rFonts w:ascii="Georgia" w:hAnsi="Georgia"/>
          <w:b/>
          <w:color w:val="383838"/>
          <w:sz w:val="28"/>
          <w:szCs w:val="28"/>
          <w:vertAlign w:val="superscript"/>
        </w:rPr>
        <w:t>1</w:t>
      </w:r>
      <w:r w:rsidR="006857A0">
        <w:rPr>
          <w:rFonts w:ascii="Calibri" w:eastAsia="Times New Roman" w:hAnsi="Calibri" w:cs="Calibri"/>
          <w:b/>
          <w:bCs/>
          <w:color w:val="000000"/>
          <w:lang w:val="es-MX" w:eastAsia="es-MX"/>
        </w:rPr>
        <w:t xml:space="preserve"> </w:t>
      </w:r>
      <w:r w:rsidR="006857A0" w:rsidRPr="00FA1307">
        <w:rPr>
          <w:rFonts w:ascii="Georgia" w:eastAsia="Times New Roman" w:hAnsi="Georgia" w:cs="Calibri"/>
          <w:bCs/>
          <w:color w:val="000000"/>
          <w:sz w:val="20"/>
          <w:szCs w:val="20"/>
          <w:lang w:val="es-MX" w:eastAsia="es-MX"/>
        </w:rPr>
        <w:t>Juan Camus A. Los Concentrados de Cobre: Un tema en discusión permanente. Cuadernos de Educación ISSN 0719-0271. Cultura, Democracia, Derechos</w:t>
      </w:r>
      <w:r w:rsidR="006857A0">
        <w:rPr>
          <w:rFonts w:ascii="Calibri" w:eastAsia="Times New Roman" w:hAnsi="Calibri" w:cs="Calibri"/>
          <w:b/>
          <w:bCs/>
          <w:color w:val="000000"/>
          <w:lang w:val="es-MX" w:eastAsia="es-MX"/>
        </w:rPr>
        <w:t xml:space="preserve"> </w:t>
      </w:r>
      <w:r w:rsidR="006857A0" w:rsidRPr="00FA1307">
        <w:rPr>
          <w:rFonts w:ascii="Georgia" w:eastAsia="Times New Roman" w:hAnsi="Georgia" w:cs="Calibri"/>
          <w:bCs/>
          <w:color w:val="000000"/>
          <w:sz w:val="20"/>
          <w:szCs w:val="20"/>
          <w:lang w:val="es-MX" w:eastAsia="es-MX"/>
        </w:rPr>
        <w:t>Humanos, Desigualdad, Historia, Norma Legal, Política Pública. Marzo 19, 2012.</w:t>
      </w:r>
    </w:p>
    <w:p w:rsidR="006E7E12" w:rsidRDefault="006E7E12" w:rsidP="006857A0">
      <w:pPr>
        <w:spacing w:line="240" w:lineRule="auto"/>
        <w:jc w:val="both"/>
        <w:rPr>
          <w:rFonts w:ascii="Georgia" w:eastAsia="Times New Roman" w:hAnsi="Georgia" w:cs="Calibri"/>
          <w:b/>
          <w:bCs/>
          <w:color w:val="000000"/>
          <w:sz w:val="28"/>
          <w:szCs w:val="28"/>
          <w:lang w:val="es-MX" w:eastAsia="es-MX"/>
        </w:rPr>
      </w:pPr>
    </w:p>
    <w:p w:rsidR="006857A0" w:rsidRDefault="006857A0" w:rsidP="006857A0">
      <w:pPr>
        <w:spacing w:line="240" w:lineRule="auto"/>
        <w:jc w:val="both"/>
        <w:rPr>
          <w:rFonts w:ascii="Georgia" w:eastAsia="Times New Roman" w:hAnsi="Georgia" w:cs="Calibri"/>
          <w:b/>
          <w:bCs/>
          <w:color w:val="000000"/>
          <w:sz w:val="24"/>
          <w:szCs w:val="24"/>
          <w:lang w:val="es-MX" w:eastAsia="es-MX"/>
        </w:rPr>
      </w:pPr>
      <w:r w:rsidRPr="0053140F">
        <w:rPr>
          <w:rFonts w:ascii="Georgia" w:eastAsia="Times New Roman" w:hAnsi="Georgia" w:cs="Calibri"/>
          <w:b/>
          <w:bCs/>
          <w:color w:val="000000"/>
          <w:sz w:val="28"/>
          <w:szCs w:val="28"/>
          <w:lang w:val="es-MX" w:eastAsia="es-MX"/>
        </w:rPr>
        <w:t>5</w:t>
      </w:r>
      <w:r>
        <w:rPr>
          <w:rFonts w:ascii="Georgia" w:eastAsia="Times New Roman" w:hAnsi="Georgia" w:cs="Calibri"/>
          <w:b/>
          <w:bCs/>
          <w:color w:val="000000"/>
          <w:sz w:val="24"/>
          <w:szCs w:val="24"/>
          <w:lang w:val="es-MX" w:eastAsia="es-MX"/>
        </w:rPr>
        <w:t xml:space="preserve">  </w:t>
      </w:r>
      <w:r w:rsidRPr="0093648F">
        <w:rPr>
          <w:rFonts w:ascii="Georgia" w:eastAsia="Times New Roman" w:hAnsi="Georgia" w:cs="Calibri"/>
          <w:b/>
          <w:bCs/>
          <w:color w:val="000000"/>
          <w:sz w:val="24"/>
          <w:szCs w:val="24"/>
          <w:lang w:val="es-MX" w:eastAsia="es-MX"/>
        </w:rPr>
        <w:t>El negocio del cobre no está en el mineral mismo sino en los concentrados</w:t>
      </w:r>
    </w:p>
    <w:p w:rsidR="006857A0" w:rsidRDefault="006857A0" w:rsidP="006857A0">
      <w:pPr>
        <w:spacing w:after="0" w:line="240" w:lineRule="auto"/>
        <w:jc w:val="both"/>
        <w:rPr>
          <w:rFonts w:ascii="Georgia" w:eastAsia="Times New Roman" w:hAnsi="Georgia" w:cs="Times New Roman"/>
          <w:sz w:val="24"/>
          <w:szCs w:val="24"/>
          <w:lang w:val="es-MX" w:eastAsia="es-MX"/>
        </w:rPr>
      </w:pPr>
      <w:r>
        <w:rPr>
          <w:rFonts w:ascii="Georgia" w:eastAsia="Times New Roman" w:hAnsi="Georgia" w:cs="Times New Roman"/>
          <w:sz w:val="24"/>
          <w:szCs w:val="24"/>
          <w:lang w:val="es-MX" w:eastAsia="es-MX"/>
        </w:rPr>
        <w:t xml:space="preserve">El procesamiento de </w:t>
      </w:r>
      <w:r w:rsidRPr="006E0C27">
        <w:rPr>
          <w:rFonts w:ascii="Georgia" w:eastAsia="Times New Roman" w:hAnsi="Georgia" w:cs="Times New Roman"/>
          <w:sz w:val="24"/>
          <w:szCs w:val="24"/>
          <w:lang w:val="es-MX" w:eastAsia="es-MX"/>
        </w:rPr>
        <w:t xml:space="preserve">esta refinería alemana confirma lo que otros estudios habían investigado, a saber </w:t>
      </w:r>
      <w:r>
        <w:rPr>
          <w:rFonts w:ascii="Georgia" w:eastAsia="Times New Roman" w:hAnsi="Georgia" w:cs="Times New Roman"/>
          <w:sz w:val="24"/>
          <w:szCs w:val="24"/>
          <w:lang w:val="es-MX" w:eastAsia="es-MX"/>
        </w:rPr>
        <w:t>el menor pago que los países productores y comercializadores de concentrados de cobre recibían por sus envíos. Es la práctica confirmada como subfacturación (</w:t>
      </w:r>
      <w:r w:rsidRPr="00A76163">
        <w:rPr>
          <w:rFonts w:ascii="Georgia" w:eastAsia="Times New Roman" w:hAnsi="Georgia" w:cs="Times New Roman"/>
          <w:i/>
          <w:sz w:val="24"/>
          <w:szCs w:val="24"/>
          <w:lang w:val="es-MX" w:eastAsia="es-MX"/>
        </w:rPr>
        <w:t>misinvoicing</w:t>
      </w:r>
      <w:r>
        <w:rPr>
          <w:rFonts w:ascii="Georgia" w:eastAsia="Times New Roman" w:hAnsi="Georgia" w:cs="Times New Roman"/>
          <w:sz w:val="24"/>
          <w:szCs w:val="24"/>
          <w:lang w:val="es-MX" w:eastAsia="es-MX"/>
        </w:rPr>
        <w:t xml:space="preserve"> en inglés).</w:t>
      </w:r>
    </w:p>
    <w:p w:rsidR="006857A0" w:rsidRDefault="006857A0" w:rsidP="006857A0">
      <w:pPr>
        <w:spacing w:after="0" w:line="240" w:lineRule="auto"/>
        <w:jc w:val="both"/>
        <w:rPr>
          <w:rFonts w:ascii="Georgia" w:eastAsia="Times New Roman" w:hAnsi="Georgia" w:cs="Times New Roman"/>
          <w:sz w:val="24"/>
          <w:szCs w:val="24"/>
          <w:lang w:val="es-MX" w:eastAsia="es-MX"/>
        </w:rPr>
      </w:pPr>
    </w:p>
    <w:p w:rsidR="006857A0" w:rsidRDefault="006857A0" w:rsidP="006857A0">
      <w:pPr>
        <w:spacing w:line="240" w:lineRule="auto"/>
        <w:jc w:val="both"/>
        <w:rPr>
          <w:rFonts w:ascii="Georgia" w:eastAsia="Times New Roman" w:hAnsi="Georgia" w:cs="Calibri"/>
          <w:bCs/>
          <w:color w:val="000000"/>
          <w:sz w:val="24"/>
          <w:szCs w:val="24"/>
          <w:lang w:val="es-MX" w:eastAsia="es-MX"/>
        </w:rPr>
      </w:pPr>
      <w:r>
        <w:rPr>
          <w:rFonts w:ascii="Georgia" w:hAnsi="Georgia"/>
          <w:sz w:val="24"/>
          <w:szCs w:val="24"/>
          <w:lang w:val="es-MX"/>
        </w:rPr>
        <w:t>L</w:t>
      </w:r>
      <w:r w:rsidRPr="00270129">
        <w:rPr>
          <w:rFonts w:ascii="Georgia" w:hAnsi="Georgia"/>
          <w:sz w:val="24"/>
          <w:szCs w:val="24"/>
          <w:lang w:val="es-MX"/>
        </w:rPr>
        <w:t xml:space="preserve">os subproductos </w:t>
      </w:r>
      <w:r>
        <w:rPr>
          <w:rFonts w:ascii="Georgia" w:hAnsi="Georgia"/>
          <w:sz w:val="24"/>
          <w:szCs w:val="24"/>
          <w:lang w:val="es-MX"/>
        </w:rPr>
        <w:t>provienen</w:t>
      </w:r>
      <w:r w:rsidRPr="00270129">
        <w:rPr>
          <w:rFonts w:ascii="Georgia" w:hAnsi="Georgia"/>
          <w:sz w:val="24"/>
          <w:szCs w:val="24"/>
          <w:lang w:val="es-MX"/>
        </w:rPr>
        <w:t xml:space="preserve"> de 2.378.000  de concentrados </w:t>
      </w:r>
      <w:r>
        <w:rPr>
          <w:rFonts w:ascii="Georgia" w:hAnsi="Georgia"/>
          <w:sz w:val="24"/>
          <w:szCs w:val="24"/>
          <w:lang w:val="es-MX"/>
        </w:rPr>
        <w:t>de cobre</w:t>
      </w:r>
      <w:r w:rsidRPr="00270129">
        <w:rPr>
          <w:rFonts w:ascii="Georgia" w:hAnsi="Georgia"/>
          <w:sz w:val="24"/>
          <w:szCs w:val="24"/>
          <w:lang w:val="es-MX"/>
        </w:rPr>
        <w:t xml:space="preserve"> para el período 2019/2020. Estos subproductos provienen de las celdas de flotación. </w:t>
      </w:r>
      <w:r w:rsidRPr="006E7E12">
        <w:rPr>
          <w:rFonts w:ascii="Georgia" w:hAnsi="Georgia"/>
          <w:sz w:val="24"/>
          <w:szCs w:val="24"/>
          <w:lang w:val="es-MX"/>
        </w:rPr>
        <w:t xml:space="preserve">La relación entre el concentrado y los subproductos es impresionante, </w:t>
      </w:r>
      <w:r w:rsidRPr="006E7E12">
        <w:rPr>
          <w:rFonts w:ascii="Georgia" w:eastAsia="Times New Roman" w:hAnsi="Georgia" w:cs="Calibri"/>
          <w:bCs/>
          <w:color w:val="000000"/>
          <w:sz w:val="24"/>
          <w:szCs w:val="24"/>
          <w:lang w:val="es-MX" w:eastAsia="es-MX"/>
        </w:rPr>
        <w:t>representa un valor de 12,6 veces el valor de los concentrados de cobre cuando el valor de la libra de cobre es: US $ 4,74 (Ver Cuadro n° 2).</w:t>
      </w:r>
      <w:r w:rsidRPr="008C4E65">
        <w:rPr>
          <w:rFonts w:ascii="Georgia" w:eastAsia="Times New Roman" w:hAnsi="Georgia" w:cs="Calibri"/>
          <w:bCs/>
          <w:color w:val="000000"/>
          <w:sz w:val="24"/>
          <w:szCs w:val="24"/>
          <w:lang w:val="es-MX" w:eastAsia="es-MX"/>
        </w:rPr>
        <w:t xml:space="preserve"> </w:t>
      </w:r>
      <w:r>
        <w:rPr>
          <w:rFonts w:ascii="Georgia" w:eastAsia="Times New Roman" w:hAnsi="Georgia" w:cs="Calibri"/>
          <w:bCs/>
          <w:color w:val="000000"/>
          <w:sz w:val="24"/>
          <w:szCs w:val="24"/>
          <w:lang w:val="es-MX" w:eastAsia="es-MX"/>
        </w:rPr>
        <w:t xml:space="preserve">Como lo hemos visto más arriba la relación sube a medida que el precio de la libra de cobre baja. </w:t>
      </w:r>
      <w:r w:rsidRPr="008C4E65">
        <w:rPr>
          <w:rFonts w:ascii="Georgia" w:eastAsia="Times New Roman" w:hAnsi="Georgia" w:cs="Calibri"/>
          <w:bCs/>
          <w:color w:val="000000"/>
          <w:sz w:val="24"/>
          <w:szCs w:val="24"/>
          <w:lang w:val="es-MX" w:eastAsia="es-MX"/>
        </w:rPr>
        <w:t>Tres metales nobles, oro, plata y platino</w:t>
      </w:r>
      <w:r>
        <w:rPr>
          <w:rFonts w:ascii="Georgia" w:eastAsia="Times New Roman" w:hAnsi="Georgia" w:cs="Calibri"/>
          <w:bCs/>
          <w:color w:val="000000"/>
          <w:sz w:val="24"/>
          <w:szCs w:val="24"/>
          <w:lang w:val="es-MX" w:eastAsia="es-MX"/>
        </w:rPr>
        <w:t xml:space="preserve">, por un valor de </w:t>
      </w:r>
      <w:r w:rsidRPr="008C4E65">
        <w:rPr>
          <w:rFonts w:ascii="Georgia" w:eastAsia="Times New Roman" w:hAnsi="Georgia" w:cs="Calibri"/>
          <w:bCs/>
          <w:color w:val="000000"/>
          <w:sz w:val="24"/>
          <w:szCs w:val="24"/>
          <w:lang w:val="es-MX" w:eastAsia="es-MX"/>
        </w:rPr>
        <w:t>US $ 303, 040, 304,694 acaparan el 97% del valor total de la c</w:t>
      </w:r>
      <w:r>
        <w:rPr>
          <w:rFonts w:ascii="Georgia" w:eastAsia="Times New Roman" w:hAnsi="Georgia" w:cs="Calibri"/>
          <w:bCs/>
          <w:color w:val="000000"/>
          <w:sz w:val="24"/>
          <w:szCs w:val="24"/>
          <w:lang w:val="es-MX" w:eastAsia="es-MX"/>
        </w:rPr>
        <w:t>anasta de subproductos</w:t>
      </w:r>
      <w:r w:rsidRPr="008C4E65">
        <w:rPr>
          <w:rFonts w:ascii="Georgia" w:eastAsia="Times New Roman" w:hAnsi="Georgia" w:cs="Calibri"/>
          <w:bCs/>
          <w:color w:val="000000"/>
          <w:sz w:val="24"/>
          <w:szCs w:val="24"/>
          <w:lang w:val="es-MX" w:eastAsia="es-MX"/>
        </w:rPr>
        <w:t>.</w:t>
      </w:r>
    </w:p>
    <w:p w:rsidR="006857A0" w:rsidRDefault="006857A0" w:rsidP="006857A0">
      <w:pPr>
        <w:spacing w:line="240" w:lineRule="auto"/>
        <w:jc w:val="both"/>
        <w:rPr>
          <w:rFonts w:ascii="Georgia" w:eastAsia="Times New Roman" w:hAnsi="Georgia" w:cs="Calibri"/>
          <w:bCs/>
          <w:color w:val="000000"/>
          <w:sz w:val="24"/>
          <w:szCs w:val="24"/>
          <w:lang w:val="es-MX" w:eastAsia="es-MX"/>
        </w:rPr>
      </w:pPr>
      <w:r>
        <w:rPr>
          <w:rFonts w:ascii="Georgia" w:eastAsia="Times New Roman" w:hAnsi="Georgia" w:cs="Calibri"/>
          <w:bCs/>
          <w:color w:val="000000"/>
          <w:sz w:val="24"/>
          <w:szCs w:val="24"/>
          <w:lang w:val="es-MX" w:eastAsia="es-MX"/>
        </w:rPr>
        <w:t>Con esto queda refrendado una vez más que el negocio del cobre no está en el mineral mismo sino en los concentrados. De hecho el valor el valor del concentrado</w:t>
      </w:r>
      <w:r w:rsidRPr="0074050E">
        <w:rPr>
          <w:rFonts w:ascii="Georgia" w:eastAsia="Times New Roman" w:hAnsi="Georgia" w:cs="Calibri"/>
          <w:bCs/>
          <w:color w:val="000000"/>
          <w:sz w:val="24"/>
          <w:szCs w:val="24"/>
          <w:lang w:val="es-MX" w:eastAsia="es-MX"/>
        </w:rPr>
        <w:t xml:space="preserve">, </w:t>
      </w:r>
      <w:r w:rsidRPr="008C4E65">
        <w:rPr>
          <w:rFonts w:ascii="Georgia" w:eastAsia="Times New Roman" w:hAnsi="Georgia" w:cs="Calibri"/>
          <w:bCs/>
          <w:color w:val="000000"/>
          <w:sz w:val="24"/>
          <w:szCs w:val="24"/>
          <w:lang w:val="es-MX" w:eastAsia="es-MX"/>
        </w:rPr>
        <w:t>US $</w:t>
      </w:r>
      <w:r>
        <w:rPr>
          <w:rFonts w:ascii="Georgia" w:eastAsia="Times New Roman" w:hAnsi="Georgia" w:cs="Calibri"/>
          <w:bCs/>
          <w:color w:val="000000"/>
          <w:sz w:val="24"/>
          <w:szCs w:val="24"/>
          <w:lang w:val="es-MX" w:eastAsia="es-MX"/>
        </w:rPr>
        <w:t xml:space="preserve"> 24, 797, 784,000</w:t>
      </w:r>
      <w:r w:rsidRPr="00857EC5">
        <w:rPr>
          <w:rFonts w:ascii="Georgia" w:eastAsia="Times New Roman" w:hAnsi="Georgia" w:cs="Calibri"/>
          <w:bCs/>
          <w:color w:val="000000"/>
          <w:sz w:val="24"/>
          <w:szCs w:val="24"/>
          <w:lang w:val="es-MX" w:eastAsia="es-MX"/>
        </w:rPr>
        <w:t>,</w:t>
      </w:r>
      <w:r w:rsidRPr="0074050E">
        <w:rPr>
          <w:rFonts w:ascii="Georgia" w:eastAsia="Times New Roman" w:hAnsi="Georgia" w:cs="Calibri"/>
          <w:bCs/>
          <w:color w:val="000000"/>
          <w:sz w:val="24"/>
          <w:szCs w:val="24"/>
          <w:lang w:val="es-MX" w:eastAsia="es-MX"/>
        </w:rPr>
        <w:t xml:space="preserve"> representa solo un </w:t>
      </w:r>
      <w:r>
        <w:rPr>
          <w:rFonts w:ascii="Georgia" w:eastAsia="Times New Roman" w:hAnsi="Georgia" w:cs="Calibri"/>
          <w:bCs/>
          <w:color w:val="000000"/>
          <w:sz w:val="24"/>
          <w:szCs w:val="24"/>
          <w:lang w:val="es-MX" w:eastAsia="es-MX"/>
        </w:rPr>
        <w:t>7,9</w:t>
      </w:r>
      <w:r w:rsidRPr="0074050E">
        <w:rPr>
          <w:rFonts w:ascii="Georgia" w:eastAsia="Times New Roman" w:hAnsi="Georgia" w:cs="Calibri"/>
          <w:bCs/>
          <w:color w:val="000000"/>
          <w:sz w:val="24"/>
          <w:szCs w:val="24"/>
          <w:lang w:val="es-MX" w:eastAsia="es-MX"/>
        </w:rPr>
        <w:t xml:space="preserve">% del valor de los subproductos a saber </w:t>
      </w:r>
      <w:r w:rsidRPr="008C4E65">
        <w:rPr>
          <w:rFonts w:ascii="Georgia" w:eastAsia="Times New Roman" w:hAnsi="Georgia" w:cs="Calibri"/>
          <w:bCs/>
          <w:color w:val="000000"/>
          <w:sz w:val="24"/>
          <w:szCs w:val="24"/>
          <w:lang w:val="es-MX" w:eastAsia="es-MX"/>
        </w:rPr>
        <w:t>US $</w:t>
      </w:r>
      <w:r>
        <w:rPr>
          <w:rFonts w:ascii="Georgia" w:eastAsia="Times New Roman" w:hAnsi="Georgia" w:cs="Calibri"/>
          <w:bCs/>
          <w:color w:val="000000"/>
          <w:sz w:val="24"/>
          <w:szCs w:val="24"/>
          <w:lang w:val="es-MX" w:eastAsia="es-MX"/>
        </w:rPr>
        <w:t xml:space="preserve"> </w:t>
      </w:r>
      <w:r w:rsidRPr="008C4E65">
        <w:rPr>
          <w:rFonts w:ascii="Georgia" w:eastAsia="Times New Roman" w:hAnsi="Georgia" w:cs="Calibri"/>
          <w:bCs/>
          <w:color w:val="000000"/>
          <w:sz w:val="24"/>
          <w:szCs w:val="24"/>
          <w:lang w:val="es-MX" w:eastAsia="es-MX"/>
        </w:rPr>
        <w:t>311, 771, 600,469</w:t>
      </w:r>
      <w:r w:rsidRPr="0074050E">
        <w:rPr>
          <w:rFonts w:ascii="Georgia" w:eastAsia="Times New Roman" w:hAnsi="Georgia" w:cs="Calibri"/>
          <w:bCs/>
          <w:color w:val="000000"/>
          <w:sz w:val="24"/>
          <w:szCs w:val="24"/>
          <w:lang w:val="es-MX" w:eastAsia="es-MX"/>
        </w:rPr>
        <w:t xml:space="preserve">. Con esto queda patente la necesidad de incluir en la cadena de valor de la producción </w:t>
      </w:r>
      <w:r>
        <w:rPr>
          <w:rFonts w:ascii="Georgia" w:eastAsia="Times New Roman" w:hAnsi="Georgia" w:cs="Calibri"/>
          <w:bCs/>
          <w:color w:val="000000"/>
          <w:sz w:val="24"/>
          <w:szCs w:val="24"/>
          <w:lang w:val="es-MX" w:eastAsia="es-MX"/>
        </w:rPr>
        <w:t>minera la fundición-refinación.</w:t>
      </w:r>
    </w:p>
    <w:p w:rsidR="006857A0" w:rsidRPr="003B0133" w:rsidRDefault="006857A0" w:rsidP="006857A0">
      <w:pPr>
        <w:spacing w:line="240" w:lineRule="auto"/>
        <w:jc w:val="both"/>
        <w:rPr>
          <w:rFonts w:ascii="Georgia" w:eastAsia="Times New Roman" w:hAnsi="Georgia" w:cs="Calibri"/>
          <w:bCs/>
          <w:color w:val="000000"/>
          <w:lang w:val="es-MX" w:eastAsia="es-MX"/>
        </w:rPr>
      </w:pPr>
      <w:r>
        <w:rPr>
          <w:rFonts w:ascii="Georgia" w:eastAsia="Times New Roman" w:hAnsi="Georgia" w:cs="Calibri"/>
          <w:bCs/>
          <w:color w:val="000000"/>
          <w:sz w:val="24"/>
          <w:szCs w:val="24"/>
          <w:lang w:val="es-MX" w:eastAsia="es-MX"/>
        </w:rPr>
        <w:t xml:space="preserve">Por esta razón en el cálculo de la regalía (royalty) deben incluirse los subproductos como sustancia mineral que debe tributar así como el cobre que contiene el concentrado que se exporta. </w:t>
      </w:r>
      <w:r w:rsidRPr="003B0133">
        <w:rPr>
          <w:rFonts w:ascii="Georgia" w:eastAsia="Times New Roman" w:hAnsi="Georgia" w:cs="Calibri"/>
          <w:bCs/>
          <w:color w:val="000000"/>
          <w:sz w:val="24"/>
          <w:szCs w:val="24"/>
          <w:lang w:val="es-MX" w:eastAsia="es-MX"/>
        </w:rPr>
        <w:t>Es el momento de hacerse cargo de la integración de esta actividad fundamental en la economía del país para lo cual existe la posibilidad legal de decretar el estanco del cobre, medida que se encuentra legalmente consagrada en el DL. 1349 de 1976 que fija el estatuto orgánico de Cochilco</w:t>
      </w:r>
      <w:r>
        <w:rPr>
          <w:rFonts w:ascii="Georgia" w:eastAsia="Times New Roman" w:hAnsi="Georgia" w:cs="Calibri"/>
          <w:bCs/>
          <w:color w:val="000000"/>
          <w:lang w:val="es-MX" w:eastAsia="es-MX"/>
        </w:rPr>
        <w:t>.</w:t>
      </w:r>
    </w:p>
    <w:p w:rsidR="006857A0" w:rsidRDefault="006857A0" w:rsidP="006857A0">
      <w:pPr>
        <w:spacing w:after="0" w:line="240" w:lineRule="auto"/>
        <w:jc w:val="both"/>
        <w:rPr>
          <w:rFonts w:ascii="Georgia" w:eastAsia="Times New Roman" w:hAnsi="Georgia" w:cs="Times New Roman"/>
          <w:sz w:val="24"/>
          <w:szCs w:val="24"/>
          <w:lang w:val="es-MX" w:eastAsia="es-MX"/>
        </w:rPr>
      </w:pPr>
    </w:p>
    <w:p w:rsidR="006857A0" w:rsidRPr="007018FA" w:rsidRDefault="006857A0" w:rsidP="006857A0">
      <w:pPr>
        <w:spacing w:after="0" w:line="240" w:lineRule="auto"/>
        <w:jc w:val="both"/>
        <w:rPr>
          <w:rFonts w:ascii="Georgia" w:eastAsia="Times New Roman" w:hAnsi="Georgia" w:cs="Times New Roman"/>
          <w:b/>
          <w:sz w:val="24"/>
          <w:szCs w:val="24"/>
          <w:lang w:val="es-MX" w:eastAsia="es-MX"/>
        </w:rPr>
      </w:pPr>
      <w:r w:rsidRPr="0053140F">
        <w:rPr>
          <w:rFonts w:ascii="Georgia" w:eastAsia="Times New Roman" w:hAnsi="Georgia" w:cs="Times New Roman"/>
          <w:b/>
          <w:sz w:val="28"/>
          <w:szCs w:val="28"/>
          <w:lang w:val="es-MX" w:eastAsia="es-MX"/>
        </w:rPr>
        <w:t>6</w:t>
      </w:r>
      <w:r>
        <w:rPr>
          <w:rFonts w:ascii="Georgia" w:eastAsia="Times New Roman" w:hAnsi="Georgia" w:cs="Times New Roman"/>
          <w:b/>
          <w:sz w:val="24"/>
          <w:szCs w:val="24"/>
          <w:lang w:val="es-MX" w:eastAsia="es-MX"/>
        </w:rPr>
        <w:t xml:space="preserve">  </w:t>
      </w:r>
      <w:r w:rsidRPr="007018FA">
        <w:rPr>
          <w:rFonts w:ascii="Georgia" w:eastAsia="Times New Roman" w:hAnsi="Georgia" w:cs="Times New Roman"/>
          <w:b/>
          <w:sz w:val="24"/>
          <w:szCs w:val="24"/>
          <w:lang w:val="es-MX" w:eastAsia="es-MX"/>
        </w:rPr>
        <w:t>C</w:t>
      </w:r>
      <w:r>
        <w:rPr>
          <w:rFonts w:ascii="Georgia" w:eastAsia="Times New Roman" w:hAnsi="Georgia" w:cs="Times New Roman"/>
          <w:b/>
          <w:sz w:val="24"/>
          <w:szCs w:val="24"/>
          <w:lang w:val="es-MX" w:eastAsia="es-MX"/>
        </w:rPr>
        <w:t xml:space="preserve">omité </w:t>
      </w:r>
      <w:r w:rsidRPr="007018FA">
        <w:rPr>
          <w:rFonts w:ascii="Georgia" w:eastAsia="Times New Roman" w:hAnsi="Georgia" w:cs="Times New Roman"/>
          <w:b/>
          <w:sz w:val="24"/>
          <w:szCs w:val="24"/>
          <w:lang w:val="es-MX" w:eastAsia="es-MX"/>
        </w:rPr>
        <w:t>E</w:t>
      </w:r>
      <w:r>
        <w:rPr>
          <w:rFonts w:ascii="Georgia" w:eastAsia="Times New Roman" w:hAnsi="Georgia" w:cs="Times New Roman"/>
          <w:b/>
          <w:sz w:val="24"/>
          <w:szCs w:val="24"/>
          <w:lang w:val="es-MX" w:eastAsia="es-MX"/>
        </w:rPr>
        <w:t xml:space="preserve">conómico </w:t>
      </w:r>
      <w:r w:rsidRPr="007018FA">
        <w:rPr>
          <w:rFonts w:ascii="Georgia" w:eastAsia="Times New Roman" w:hAnsi="Georgia" w:cs="Times New Roman"/>
          <w:b/>
          <w:sz w:val="24"/>
          <w:szCs w:val="24"/>
          <w:lang w:val="es-MX" w:eastAsia="es-MX"/>
        </w:rPr>
        <w:t>P</w:t>
      </w:r>
      <w:r>
        <w:rPr>
          <w:rFonts w:ascii="Georgia" w:eastAsia="Times New Roman" w:hAnsi="Georgia" w:cs="Times New Roman"/>
          <w:b/>
          <w:sz w:val="24"/>
          <w:szCs w:val="24"/>
          <w:lang w:val="es-MX" w:eastAsia="es-MX"/>
        </w:rPr>
        <w:t xml:space="preserve">ara </w:t>
      </w:r>
      <w:r w:rsidRPr="007018FA">
        <w:rPr>
          <w:rFonts w:ascii="Georgia" w:eastAsia="Times New Roman" w:hAnsi="Georgia" w:cs="Times New Roman"/>
          <w:b/>
          <w:sz w:val="24"/>
          <w:szCs w:val="24"/>
          <w:lang w:val="es-MX" w:eastAsia="es-MX"/>
        </w:rPr>
        <w:t>A</w:t>
      </w:r>
      <w:r>
        <w:rPr>
          <w:rFonts w:ascii="Georgia" w:eastAsia="Times New Roman" w:hAnsi="Georgia" w:cs="Times New Roman"/>
          <w:b/>
          <w:sz w:val="24"/>
          <w:szCs w:val="24"/>
          <w:lang w:val="es-MX" w:eastAsia="es-MX"/>
        </w:rPr>
        <w:t xml:space="preserve">mérica </w:t>
      </w:r>
      <w:r w:rsidRPr="007018FA">
        <w:rPr>
          <w:rFonts w:ascii="Georgia" w:eastAsia="Times New Roman" w:hAnsi="Georgia" w:cs="Times New Roman"/>
          <w:b/>
          <w:sz w:val="24"/>
          <w:szCs w:val="24"/>
          <w:lang w:val="es-MX" w:eastAsia="es-MX"/>
        </w:rPr>
        <w:t>L</w:t>
      </w:r>
      <w:r>
        <w:rPr>
          <w:rFonts w:ascii="Georgia" w:eastAsia="Times New Roman" w:hAnsi="Georgia" w:cs="Times New Roman"/>
          <w:b/>
          <w:sz w:val="24"/>
          <w:szCs w:val="24"/>
          <w:lang w:val="es-MX" w:eastAsia="es-MX"/>
        </w:rPr>
        <w:t>atina y el Caribe</w:t>
      </w:r>
      <w:r w:rsidR="00816543">
        <w:rPr>
          <w:rFonts w:ascii="Georgia" w:eastAsia="Times New Roman" w:hAnsi="Georgia" w:cs="Times New Roman"/>
          <w:b/>
          <w:sz w:val="24"/>
          <w:szCs w:val="24"/>
          <w:lang w:val="es-MX" w:eastAsia="es-MX"/>
        </w:rPr>
        <w:t xml:space="preserve"> (CEPAL)</w:t>
      </w:r>
    </w:p>
    <w:p w:rsidR="006857A0" w:rsidRDefault="006857A0" w:rsidP="006857A0">
      <w:pPr>
        <w:spacing w:after="0" w:line="240" w:lineRule="auto"/>
        <w:jc w:val="both"/>
        <w:rPr>
          <w:rFonts w:ascii="Georgia" w:eastAsia="Times New Roman" w:hAnsi="Georgia" w:cs="Times New Roman"/>
          <w:sz w:val="24"/>
          <w:szCs w:val="24"/>
          <w:lang w:val="es-MX" w:eastAsia="es-MX"/>
        </w:rPr>
      </w:pPr>
    </w:p>
    <w:p w:rsidR="006E7E12" w:rsidRPr="0093648F" w:rsidRDefault="006E7E12" w:rsidP="006857A0">
      <w:pPr>
        <w:spacing w:after="0" w:line="240" w:lineRule="auto"/>
        <w:jc w:val="both"/>
        <w:rPr>
          <w:rFonts w:ascii="Georgia" w:eastAsia="Times New Roman" w:hAnsi="Georgia" w:cs="Times New Roman"/>
          <w:sz w:val="24"/>
          <w:szCs w:val="24"/>
          <w:lang w:val="es-MX" w:eastAsia="es-MX"/>
        </w:rPr>
      </w:pPr>
    </w:p>
    <w:p w:rsidR="006857A0" w:rsidRPr="0093648F" w:rsidRDefault="006857A0" w:rsidP="006857A0">
      <w:pPr>
        <w:spacing w:after="0" w:line="240" w:lineRule="auto"/>
        <w:jc w:val="both"/>
        <w:rPr>
          <w:rFonts w:ascii="Georgia" w:eastAsia="Times New Roman" w:hAnsi="Georgia" w:cs="Times New Roman"/>
          <w:sz w:val="24"/>
          <w:szCs w:val="24"/>
          <w:lang w:val="es-MX" w:eastAsia="es-MX"/>
        </w:rPr>
      </w:pPr>
      <w:r w:rsidRPr="0093648F">
        <w:rPr>
          <w:rFonts w:ascii="Georgia" w:eastAsia="Times New Roman" w:hAnsi="Georgia" w:cs="Times New Roman"/>
          <w:sz w:val="24"/>
          <w:szCs w:val="24"/>
          <w:lang w:val="es-MX" w:eastAsia="es-MX"/>
        </w:rPr>
        <w:t>En el estudio de Cepal (con cifra</w:t>
      </w:r>
      <w:r w:rsidR="006E7E12">
        <w:rPr>
          <w:rFonts w:ascii="Georgia" w:eastAsia="Times New Roman" w:hAnsi="Georgia" w:cs="Times New Roman"/>
          <w:sz w:val="24"/>
          <w:szCs w:val="24"/>
          <w:lang w:val="es-MX" w:eastAsia="es-MX"/>
        </w:rPr>
        <w:t>s de 2019) –CEPAL Review N° 127</w:t>
      </w:r>
      <w:r w:rsidRPr="006E7E12">
        <w:rPr>
          <w:rFonts w:ascii="Georgia" w:eastAsia="Times New Roman" w:hAnsi="Georgia" w:cs="Times New Roman"/>
          <w:sz w:val="24"/>
          <w:szCs w:val="24"/>
          <w:lang w:val="es-MX" w:eastAsia="es-MX"/>
        </w:rPr>
        <w:t xml:space="preserve"> </w:t>
      </w:r>
      <w:r w:rsidRPr="0093648F">
        <w:rPr>
          <w:rFonts w:ascii="Georgia" w:eastAsia="Times New Roman" w:hAnsi="Georgia" w:cs="Times New Roman"/>
          <w:sz w:val="24"/>
          <w:szCs w:val="24"/>
          <w:lang w:val="es-MX" w:eastAsia="es-MX"/>
        </w:rPr>
        <w:t xml:space="preserve">April 2019. </w:t>
      </w:r>
      <w:r w:rsidRPr="0093648F">
        <w:rPr>
          <w:rFonts w:ascii="Georgia" w:eastAsia="Times New Roman" w:hAnsi="Georgia" w:cs="Times New Roman"/>
          <w:i/>
          <w:sz w:val="24"/>
          <w:szCs w:val="24"/>
          <w:lang w:val="en-GB" w:eastAsia="es-MX"/>
        </w:rPr>
        <w:t>Trade misinvoicing in copper products: a case study of Chile and Peru</w:t>
      </w:r>
      <w:r w:rsidRPr="0093648F">
        <w:rPr>
          <w:rFonts w:ascii="Georgia" w:eastAsia="Times New Roman" w:hAnsi="Georgia" w:cs="Times New Roman"/>
          <w:sz w:val="24"/>
          <w:szCs w:val="24"/>
          <w:lang w:val="en-GB" w:eastAsia="es-MX"/>
        </w:rPr>
        <w:t xml:space="preserve">. </w:t>
      </w:r>
      <w:r w:rsidRPr="0093648F">
        <w:rPr>
          <w:rFonts w:ascii="Georgia" w:eastAsia="Times New Roman" w:hAnsi="Georgia" w:cs="Times New Roman"/>
          <w:sz w:val="24"/>
          <w:szCs w:val="24"/>
          <w:lang w:val="es-MX" w:eastAsia="es-MX"/>
        </w:rPr>
        <w:t>Michael Hanni y Andrea Podestá – se revela que el contenido de plata y oro de los concentrados exportados desde Chile contiene alrededor de 2 gramos de oro por tonelada métrica y aproximadamente 98 gramos de plata por tonelada métrica.</w:t>
      </w:r>
    </w:p>
    <w:p w:rsidR="006857A0" w:rsidRPr="0093648F" w:rsidRDefault="006857A0" w:rsidP="006857A0">
      <w:pPr>
        <w:spacing w:after="0" w:line="240" w:lineRule="auto"/>
        <w:jc w:val="both"/>
        <w:rPr>
          <w:rFonts w:ascii="Georgia" w:eastAsia="Times New Roman" w:hAnsi="Georgia" w:cs="Times New Roman"/>
          <w:sz w:val="24"/>
          <w:szCs w:val="24"/>
          <w:lang w:val="es-MX" w:eastAsia="es-MX"/>
        </w:rPr>
      </w:pPr>
    </w:p>
    <w:p w:rsidR="006857A0" w:rsidRPr="006E0C27" w:rsidRDefault="006857A0" w:rsidP="006857A0">
      <w:pPr>
        <w:spacing w:after="0" w:line="240" w:lineRule="auto"/>
        <w:jc w:val="both"/>
        <w:rPr>
          <w:rFonts w:ascii="Georgia" w:eastAsia="Times New Roman" w:hAnsi="Georgia" w:cs="Times New Roman"/>
          <w:sz w:val="24"/>
          <w:szCs w:val="24"/>
          <w:lang w:val="es-MX" w:eastAsia="es-MX"/>
        </w:rPr>
      </w:pPr>
      <w:r w:rsidRPr="0093648F">
        <w:rPr>
          <w:rFonts w:ascii="Georgia" w:eastAsia="Times New Roman" w:hAnsi="Georgia" w:cs="Times New Roman"/>
          <w:sz w:val="24"/>
          <w:szCs w:val="24"/>
          <w:lang w:val="es-MX" w:eastAsia="es-MX"/>
        </w:rPr>
        <w:t>Este menor valor o subfacturación por sus embarques de concentrado Chile registra</w:t>
      </w:r>
      <w:r w:rsidRPr="00B7359E">
        <w:rPr>
          <w:rFonts w:ascii="Times New Roman" w:eastAsia="Times New Roman" w:hAnsi="Times New Roman" w:cs="Times New Roman"/>
          <w:sz w:val="24"/>
          <w:szCs w:val="24"/>
          <w:lang w:val="es-MX" w:eastAsia="es-MX"/>
        </w:rPr>
        <w:t xml:space="preserve"> </w:t>
      </w:r>
      <w:r w:rsidRPr="00B7359E">
        <w:rPr>
          <w:rFonts w:ascii="Georgia" w:hAnsi="Georgia"/>
          <w:sz w:val="24"/>
          <w:szCs w:val="24"/>
          <w:lang w:val="es-MX"/>
        </w:rPr>
        <w:t>US$ 6.348 millones entre los años 2006 y la primera mitad de 2016, es decir 3,2% del total de los valores de exportación. De ese monto US$ 2516 millones (40%) corresponde a transacciones en el marco del contrato entre Codelco y Minmetals. En relación al resto de las transacciones US$ 3.833 millones, o sea 1,9% del valor total de las exportaciones, se observa una baja promedio en la subfacturación, de US $ 567 anual entre 2006 y 2010 a US$ 182 millones entre 2011 y 2015. Por tanto, la subfacturación promedio de 3,1% entre 2006-2010 cayó a 0,9% entre 2011-2015. Las ventas a China representan la mayor cantidad de subfacturaciones para el período 2006-2016</w:t>
      </w:r>
      <w:r w:rsidRPr="006E0C27">
        <w:rPr>
          <w:rFonts w:ascii="Georgia" w:hAnsi="Georgia"/>
          <w:sz w:val="24"/>
          <w:szCs w:val="24"/>
          <w:lang w:val="es-MX"/>
        </w:rPr>
        <w:t xml:space="preserve">. </w:t>
      </w:r>
      <w:r w:rsidRPr="006E0C27">
        <w:rPr>
          <w:rFonts w:ascii="Georgia" w:eastAsia="Times New Roman" w:hAnsi="Georgia" w:cs="Times New Roman"/>
          <w:sz w:val="24"/>
          <w:szCs w:val="24"/>
          <w:lang w:val="es-MX" w:eastAsia="es-MX"/>
        </w:rPr>
        <w:t>El tema preocupa por sus consecuencias en las cuentas externas de los países así como la credibilidad en las relaciones comerciales. Algunos estudios relativos a la subfacturación datan desde hace ya casi 60 años</w:t>
      </w:r>
      <w:r w:rsidR="00816543">
        <w:rPr>
          <w:rFonts w:ascii="Georgia" w:eastAsia="Times New Roman" w:hAnsi="Georgia" w:cs="Times New Roman"/>
          <w:sz w:val="24"/>
          <w:szCs w:val="24"/>
          <w:lang w:val="es-MX" w:eastAsia="es-MX"/>
        </w:rPr>
        <w:t xml:space="preserve"> (Ver Recuadro 2 más abajo)</w:t>
      </w:r>
      <w:r w:rsidRPr="006E0C27">
        <w:rPr>
          <w:rFonts w:ascii="Georgia" w:eastAsia="Times New Roman" w:hAnsi="Georgia" w:cs="Times New Roman"/>
          <w:sz w:val="24"/>
          <w:szCs w:val="24"/>
          <w:lang w:val="es-MX" w:eastAsia="es-MX"/>
        </w:rPr>
        <w:t>.</w:t>
      </w:r>
    </w:p>
    <w:p w:rsidR="006857A0" w:rsidRPr="009E2FE4" w:rsidRDefault="006857A0" w:rsidP="006857A0">
      <w:pPr>
        <w:spacing w:after="0" w:line="240" w:lineRule="auto"/>
        <w:jc w:val="both"/>
        <w:rPr>
          <w:rFonts w:ascii="Georgia" w:eastAsia="Times New Roman" w:hAnsi="Georgia" w:cs="Times New Roman"/>
          <w:sz w:val="24"/>
          <w:szCs w:val="24"/>
          <w:lang w:val="es-MX" w:eastAsia="es-MX"/>
        </w:rPr>
      </w:pPr>
    </w:p>
    <w:p w:rsidR="006857A0" w:rsidRDefault="006857A0" w:rsidP="006857A0">
      <w:pPr>
        <w:shd w:val="clear" w:color="auto" w:fill="FFFFFF"/>
        <w:spacing w:after="0" w:line="240" w:lineRule="auto"/>
        <w:jc w:val="both"/>
        <w:rPr>
          <w:rFonts w:ascii="Georgia" w:eastAsia="Times New Roman" w:hAnsi="Georgia" w:cs="Segoe UI"/>
          <w:sz w:val="24"/>
          <w:szCs w:val="24"/>
          <w:lang w:val="es-MX" w:eastAsia="es-MX"/>
        </w:rPr>
      </w:pPr>
      <w:r>
        <w:rPr>
          <w:rFonts w:ascii="Georgia" w:eastAsia="Times New Roman" w:hAnsi="Georgia" w:cs="Segoe UI"/>
          <w:sz w:val="24"/>
          <w:szCs w:val="24"/>
          <w:lang w:val="es-MX" w:eastAsia="es-MX"/>
        </w:rPr>
        <w:t>Se trata de más de 30 subproductos entre ellos oro, plata, molibdeno, tierras raras, etcétera, por los que no se paga. Cálculos estimativos, en base a estudios de laboratorios en los países de extracción y comercialización del metal, cifran lo sub facturado, es decir los impagos en aduana, en 60 mil millones de dólares (datos emanados del Consejo Minero). Esto es 67% del presupuesto nacional – según un precio promedio de la época de US $2,5 y US $3 la libra (años 2014-2015).</w:t>
      </w:r>
    </w:p>
    <w:p w:rsidR="006857A0" w:rsidRDefault="006857A0" w:rsidP="006857A0">
      <w:pPr>
        <w:shd w:val="clear" w:color="auto" w:fill="FFFFFF"/>
        <w:spacing w:after="0" w:line="240" w:lineRule="auto"/>
        <w:jc w:val="both"/>
        <w:rPr>
          <w:rFonts w:ascii="Georgia" w:eastAsia="Times New Roman" w:hAnsi="Georgia" w:cs="Segoe UI"/>
          <w:sz w:val="24"/>
          <w:szCs w:val="24"/>
          <w:lang w:val="es-MX" w:eastAsia="es-MX"/>
        </w:rPr>
      </w:pPr>
    </w:p>
    <w:p w:rsidR="006857A0" w:rsidRPr="00E83571" w:rsidRDefault="00816543" w:rsidP="006857A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8"/>
          <w:szCs w:val="18"/>
          <w:lang w:val="es-MX" w:eastAsia="es-MX"/>
        </w:rPr>
      </w:pPr>
      <w:r>
        <w:rPr>
          <w:rFonts w:ascii="Times New Roman" w:eastAsia="Times New Roman" w:hAnsi="Times New Roman" w:cs="Times New Roman"/>
          <w:sz w:val="18"/>
          <w:szCs w:val="18"/>
          <w:lang w:val="es-MX" w:eastAsia="es-MX"/>
        </w:rPr>
        <w:t xml:space="preserve">Recuadro 2: </w:t>
      </w:r>
      <w:r w:rsidR="006857A0" w:rsidRPr="00E83571">
        <w:rPr>
          <w:rFonts w:ascii="Times New Roman" w:eastAsia="Times New Roman" w:hAnsi="Times New Roman" w:cs="Times New Roman"/>
          <w:sz w:val="18"/>
          <w:szCs w:val="18"/>
          <w:lang w:val="es-MX" w:eastAsia="es-MX"/>
        </w:rPr>
        <w:t xml:space="preserve">Literatura señalada en el artículo de </w:t>
      </w:r>
      <w:r w:rsidR="006857A0">
        <w:rPr>
          <w:rFonts w:ascii="Times New Roman" w:eastAsia="Times New Roman" w:hAnsi="Times New Roman" w:cs="Times New Roman"/>
          <w:sz w:val="18"/>
          <w:szCs w:val="18"/>
          <w:lang w:val="es-MX" w:eastAsia="es-MX"/>
        </w:rPr>
        <w:t xml:space="preserve">Michael </w:t>
      </w:r>
      <w:r w:rsidR="006857A0" w:rsidRPr="00E83571">
        <w:rPr>
          <w:rFonts w:ascii="Times New Roman" w:eastAsia="Times New Roman" w:hAnsi="Times New Roman" w:cs="Times New Roman"/>
          <w:sz w:val="18"/>
          <w:szCs w:val="18"/>
          <w:lang w:val="es-MX" w:eastAsia="es-MX"/>
        </w:rPr>
        <w:t xml:space="preserve">Hanni y Andrea Podestá </w:t>
      </w:r>
    </w:p>
    <w:p w:rsidR="006857A0" w:rsidRDefault="006857A0" w:rsidP="006857A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8"/>
          <w:szCs w:val="18"/>
          <w:lang w:val="es-MX" w:eastAsia="es-MX"/>
        </w:rPr>
      </w:pPr>
      <w:r w:rsidRPr="00E83571">
        <w:rPr>
          <w:rFonts w:ascii="Times New Roman" w:eastAsia="Times New Roman" w:hAnsi="Times New Roman" w:cs="Times New Roman"/>
          <w:sz w:val="18"/>
          <w:szCs w:val="18"/>
          <w:lang w:val="es-MX" w:eastAsia="es-MX"/>
        </w:rPr>
        <w:t xml:space="preserve"> </w:t>
      </w:r>
    </w:p>
    <w:p w:rsidR="006857A0" w:rsidRPr="00E83571" w:rsidRDefault="006857A0" w:rsidP="006857A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8"/>
          <w:szCs w:val="18"/>
          <w:lang w:val="en-GB" w:eastAsia="es-MX"/>
        </w:rPr>
      </w:pPr>
      <w:r w:rsidRPr="00E83571">
        <w:rPr>
          <w:rFonts w:ascii="Times New Roman" w:eastAsia="Times New Roman" w:hAnsi="Times New Roman" w:cs="Times New Roman"/>
          <w:sz w:val="18"/>
          <w:szCs w:val="18"/>
          <w:lang w:val="en-GB" w:eastAsia="es-MX"/>
        </w:rPr>
        <w:t>Bhagwati, J. (1974), “Fiscal policies, the faking foreign trade declarations, and the balance of payments”, Illegal Transactions in International Trade, J. N. Bhagwati (ed.), Amsterdam, North Holland.</w:t>
      </w:r>
    </w:p>
    <w:p w:rsidR="006857A0" w:rsidRPr="00E83571" w:rsidRDefault="006857A0" w:rsidP="006857A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8"/>
          <w:szCs w:val="18"/>
          <w:lang w:val="en-GB" w:eastAsia="es-MX"/>
        </w:rPr>
      </w:pPr>
      <w:r w:rsidRPr="00E83571">
        <w:rPr>
          <w:rFonts w:ascii="Times New Roman" w:eastAsia="Times New Roman" w:hAnsi="Times New Roman" w:cs="Times New Roman"/>
          <w:sz w:val="18"/>
          <w:szCs w:val="18"/>
          <w:lang w:val="en-GB" w:eastAsia="es-MX"/>
        </w:rPr>
        <w:t>__________(1964), “On the underinvoicing of imports”, Bulletin of the Oxford University Institute of Economics and Statistics, vol. 26, No. 4 Oxford, University of Oxford.</w:t>
      </w:r>
    </w:p>
    <w:p w:rsidR="006857A0" w:rsidRPr="00E83571" w:rsidRDefault="006857A0" w:rsidP="006857A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8"/>
          <w:szCs w:val="18"/>
          <w:lang w:val="en-GB" w:eastAsia="es-MX"/>
        </w:rPr>
      </w:pPr>
    </w:p>
    <w:p w:rsidR="006857A0" w:rsidRPr="00E83571" w:rsidRDefault="006857A0" w:rsidP="006857A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8"/>
          <w:szCs w:val="18"/>
          <w:lang w:val="es-MX" w:eastAsia="es-MX"/>
        </w:rPr>
      </w:pPr>
      <w:r w:rsidRPr="00E83571">
        <w:rPr>
          <w:rFonts w:ascii="Times New Roman" w:eastAsia="Times New Roman" w:hAnsi="Times New Roman" w:cs="Times New Roman"/>
          <w:sz w:val="18"/>
          <w:szCs w:val="18"/>
          <w:lang w:val="es-MX" w:eastAsia="es-MX"/>
        </w:rPr>
        <w:t>Castillo, R. (2015), El cobre: anatomía del mayor fraude minero en Chile, Santiago, Andros Impresores.</w:t>
      </w:r>
    </w:p>
    <w:p w:rsidR="006857A0" w:rsidRPr="00E83571" w:rsidRDefault="006857A0" w:rsidP="006857A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8"/>
          <w:szCs w:val="18"/>
          <w:lang w:val="es-MX" w:eastAsia="es-MX"/>
        </w:rPr>
      </w:pPr>
    </w:p>
    <w:p w:rsidR="006857A0" w:rsidRPr="00E83571" w:rsidRDefault="006857A0" w:rsidP="006857A0">
      <w:pPr>
        <w:pBdr>
          <w:top w:val="single" w:sz="4" w:space="1" w:color="auto"/>
          <w:left w:val="single" w:sz="4" w:space="4" w:color="auto"/>
          <w:bottom w:val="single" w:sz="4" w:space="1" w:color="auto"/>
          <w:right w:val="single" w:sz="4" w:space="4" w:color="auto"/>
        </w:pBdr>
        <w:spacing w:after="0" w:line="240" w:lineRule="auto"/>
        <w:jc w:val="both"/>
        <w:rPr>
          <w:rFonts w:ascii="Georgia" w:hAnsi="Georgia"/>
          <w:sz w:val="18"/>
          <w:szCs w:val="18"/>
          <w:lang w:val="en-GB"/>
        </w:rPr>
      </w:pPr>
      <w:r w:rsidRPr="00E83571">
        <w:rPr>
          <w:rFonts w:ascii="Georgia" w:hAnsi="Georgia"/>
          <w:sz w:val="18"/>
          <w:szCs w:val="18"/>
          <w:lang w:val="en-GB"/>
        </w:rPr>
        <w:t xml:space="preserve">COCHILCO (Chilean Copper Commission) (2016), 1996–2015 Yearbook: Copper and other Mineral Statistics, Santiago. </w:t>
      </w:r>
    </w:p>
    <w:p w:rsidR="006857A0" w:rsidRPr="00E83571" w:rsidRDefault="006857A0" w:rsidP="006857A0">
      <w:pPr>
        <w:pBdr>
          <w:top w:val="single" w:sz="4" w:space="1" w:color="auto"/>
          <w:left w:val="single" w:sz="4" w:space="4" w:color="auto"/>
          <w:bottom w:val="single" w:sz="4" w:space="1" w:color="auto"/>
          <w:right w:val="single" w:sz="4" w:space="4" w:color="auto"/>
        </w:pBdr>
        <w:spacing w:after="0" w:line="240" w:lineRule="auto"/>
        <w:jc w:val="both"/>
        <w:rPr>
          <w:rFonts w:ascii="Georgia" w:hAnsi="Georgia"/>
          <w:sz w:val="18"/>
          <w:szCs w:val="18"/>
          <w:lang w:val="en-GB"/>
        </w:rPr>
      </w:pPr>
    </w:p>
    <w:p w:rsidR="006857A0" w:rsidRPr="00E83571" w:rsidRDefault="006857A0" w:rsidP="006857A0">
      <w:pPr>
        <w:pBdr>
          <w:top w:val="single" w:sz="4" w:space="1" w:color="auto"/>
          <w:left w:val="single" w:sz="4" w:space="4" w:color="auto"/>
          <w:bottom w:val="single" w:sz="4" w:space="1" w:color="auto"/>
          <w:right w:val="single" w:sz="4" w:space="4" w:color="auto"/>
        </w:pBdr>
        <w:spacing w:after="0" w:line="240" w:lineRule="auto"/>
        <w:jc w:val="both"/>
        <w:rPr>
          <w:rFonts w:ascii="Georgia" w:hAnsi="Georgia"/>
          <w:sz w:val="18"/>
          <w:szCs w:val="18"/>
        </w:rPr>
      </w:pPr>
      <w:r w:rsidRPr="00E83571">
        <w:rPr>
          <w:rFonts w:ascii="Georgia" w:hAnsi="Georgia"/>
          <w:sz w:val="18"/>
          <w:szCs w:val="18"/>
        </w:rPr>
        <w:t xml:space="preserve">CODELCO (Corporación Nacional del Cobre de Chile) (2016), Memoria Anual, 2015, Santiago. </w:t>
      </w:r>
    </w:p>
    <w:p w:rsidR="006857A0" w:rsidRPr="00E83571" w:rsidRDefault="006857A0" w:rsidP="006857A0">
      <w:pPr>
        <w:pBdr>
          <w:top w:val="single" w:sz="4" w:space="1" w:color="auto"/>
          <w:left w:val="single" w:sz="4" w:space="4" w:color="auto"/>
          <w:bottom w:val="single" w:sz="4" w:space="1" w:color="auto"/>
          <w:right w:val="single" w:sz="4" w:space="4" w:color="auto"/>
        </w:pBdr>
        <w:spacing w:after="0" w:line="240" w:lineRule="auto"/>
        <w:jc w:val="both"/>
        <w:rPr>
          <w:rFonts w:ascii="Georgia" w:hAnsi="Georgia"/>
          <w:sz w:val="18"/>
          <w:szCs w:val="18"/>
        </w:rPr>
      </w:pPr>
    </w:p>
    <w:p w:rsidR="006857A0" w:rsidRPr="00E83571" w:rsidRDefault="006857A0" w:rsidP="006857A0">
      <w:pPr>
        <w:pBdr>
          <w:top w:val="single" w:sz="4" w:space="1" w:color="auto"/>
          <w:left w:val="single" w:sz="4" w:space="4" w:color="auto"/>
          <w:bottom w:val="single" w:sz="4" w:space="1" w:color="auto"/>
          <w:right w:val="single" w:sz="4" w:space="4" w:color="auto"/>
        </w:pBdr>
        <w:spacing w:after="0" w:line="240" w:lineRule="auto"/>
        <w:jc w:val="both"/>
        <w:rPr>
          <w:rFonts w:ascii="Georgia" w:hAnsi="Georgia"/>
          <w:sz w:val="18"/>
          <w:szCs w:val="18"/>
          <w:lang w:val="en-GB"/>
        </w:rPr>
      </w:pPr>
      <w:r w:rsidRPr="00E83571">
        <w:rPr>
          <w:rFonts w:ascii="Georgia" w:hAnsi="Georgia"/>
          <w:sz w:val="18"/>
          <w:szCs w:val="18"/>
          <w:lang w:val="en-GB"/>
        </w:rPr>
        <w:t>ECA (Economic Commission for Africa) (2015), Illicit Financial Flow. Report of the High Level Panel on Illicit Financial Flows from Africa, Addis Ababa.</w:t>
      </w:r>
    </w:p>
    <w:p w:rsidR="006857A0" w:rsidRPr="00E83571" w:rsidRDefault="006857A0" w:rsidP="006857A0">
      <w:pPr>
        <w:spacing w:after="0" w:line="240" w:lineRule="auto"/>
        <w:jc w:val="both"/>
        <w:rPr>
          <w:sz w:val="18"/>
          <w:szCs w:val="18"/>
          <w:lang w:val="en-GB"/>
        </w:rPr>
      </w:pPr>
    </w:p>
    <w:p w:rsidR="006857A0" w:rsidRPr="005D45AF" w:rsidRDefault="006857A0" w:rsidP="006857A0">
      <w:pPr>
        <w:pStyle w:val="NormalWeb"/>
        <w:shd w:val="clear" w:color="auto" w:fill="FFFFFF"/>
        <w:spacing w:after="360" w:afterAutospacing="0"/>
        <w:jc w:val="both"/>
        <w:rPr>
          <w:rFonts w:ascii="Georgia" w:hAnsi="Georgia" w:cs="Arial"/>
          <w:b/>
          <w:color w:val="202124"/>
          <w:shd w:val="clear" w:color="auto" w:fill="FFFFFF"/>
          <w:lang w:val="es-MX"/>
        </w:rPr>
      </w:pPr>
      <w:r w:rsidRPr="0053140F">
        <w:rPr>
          <w:rFonts w:ascii="Georgia" w:hAnsi="Georgia" w:cs="Arial"/>
          <w:b/>
          <w:color w:val="202124"/>
          <w:sz w:val="28"/>
          <w:szCs w:val="28"/>
          <w:shd w:val="clear" w:color="auto" w:fill="FFFFFF"/>
          <w:lang w:val="es-MX"/>
        </w:rPr>
        <w:t>7</w:t>
      </w:r>
      <w:r>
        <w:rPr>
          <w:rFonts w:ascii="Georgia" w:hAnsi="Georgia" w:cs="Arial"/>
          <w:b/>
          <w:color w:val="202124"/>
          <w:shd w:val="clear" w:color="auto" w:fill="FFFFFF"/>
          <w:lang w:val="es-MX"/>
        </w:rPr>
        <w:t xml:space="preserve">  </w:t>
      </w:r>
      <w:r w:rsidRPr="005D45AF">
        <w:rPr>
          <w:rFonts w:ascii="Georgia" w:hAnsi="Georgia" w:cs="Arial"/>
          <w:b/>
          <w:color w:val="202124"/>
          <w:shd w:val="clear" w:color="auto" w:fill="FFFFFF"/>
          <w:lang w:val="es-MX"/>
        </w:rPr>
        <w:t>Factores que inciden en la revalorización de los minerales</w:t>
      </w:r>
    </w:p>
    <w:p w:rsidR="006857A0" w:rsidRDefault="006857A0" w:rsidP="006857A0">
      <w:pPr>
        <w:pStyle w:val="NormalWeb"/>
        <w:shd w:val="clear" w:color="auto" w:fill="FFFFFF"/>
        <w:spacing w:after="360" w:afterAutospacing="0"/>
        <w:jc w:val="both"/>
        <w:rPr>
          <w:rFonts w:ascii="Georgia" w:hAnsi="Georgia" w:cs="Arial"/>
          <w:color w:val="202124"/>
          <w:shd w:val="clear" w:color="auto" w:fill="FFFFFF"/>
        </w:rPr>
      </w:pPr>
      <w:r w:rsidRPr="005D45AF">
        <w:rPr>
          <w:rFonts w:ascii="Georgia" w:hAnsi="Georgia" w:cs="Arial"/>
          <w:b/>
          <w:sz w:val="28"/>
          <w:szCs w:val="28"/>
          <w:shd w:val="clear" w:color="auto" w:fill="FFFFFF"/>
        </w:rPr>
        <w:t>1</w:t>
      </w:r>
      <w:r>
        <w:rPr>
          <w:rFonts w:ascii="Georgia" w:hAnsi="Georgia" w:cs="Arial"/>
          <w:color w:val="202124"/>
          <w:shd w:val="clear" w:color="auto" w:fill="FFFFFF"/>
        </w:rPr>
        <w:t xml:space="preserve">  La guerra en Ucrania y sanciones impuestas a Rusia afecta sus exportaciones de materias primas a saber, el aluminio (6% de la producción mundial estimada), cobalto (más del 4% del total mundial), cobre, níquel (7% del total mundial), Paladio (produce 40% del total mundial) y Platino (aproximadamente 10% de la producción minera total), oro (10% de la producción minera mundial que según el Consejo Mundial del Oro ascendió a 3500 toneladas, en 2021), Titanio (juntos, Rusia y Ucrania representan alrededor del 15% del total mundial), Acero (4% del total mundial, la mitad de su producción se exporta a Europa), Diamantes (produce aproximadamente el 30% del total mundial).</w:t>
      </w:r>
    </w:p>
    <w:p w:rsidR="006857A0" w:rsidRDefault="006857A0" w:rsidP="006857A0">
      <w:pPr>
        <w:pStyle w:val="NormalWeb"/>
        <w:shd w:val="clear" w:color="auto" w:fill="FFFFFF"/>
        <w:spacing w:after="360" w:afterAutospacing="0"/>
        <w:jc w:val="both"/>
        <w:rPr>
          <w:rFonts w:ascii="Georgia" w:hAnsi="Georgia"/>
          <w:color w:val="000000"/>
          <w:lang w:val="es-MX"/>
        </w:rPr>
      </w:pPr>
      <w:r>
        <w:rPr>
          <w:rFonts w:ascii="Georgia" w:hAnsi="Georgia"/>
          <w:color w:val="000000"/>
          <w:lang w:val="es-MX"/>
        </w:rPr>
        <w:t>Considerando los tiempos de guerra, e intenciones de precaución de la población, los minerales subirán de precios, entre otros: hierro, óxido de silicio, plomo, uranio, antimonio, azufre, cromo, cobalto, mercurio, molibdeno, rodio, paladio, plata, oro, teluro, más tierras raras.</w:t>
      </w:r>
    </w:p>
    <w:p w:rsidR="006857A0" w:rsidRDefault="006857A0" w:rsidP="006857A0">
      <w:pPr>
        <w:pStyle w:val="NormalWeb"/>
        <w:shd w:val="clear" w:color="auto" w:fill="FFFFFF"/>
        <w:spacing w:after="360" w:afterAutospacing="0"/>
        <w:jc w:val="both"/>
        <w:rPr>
          <w:rFonts w:ascii="Georgia" w:hAnsi="Georgia"/>
          <w:color w:val="000000"/>
          <w:lang w:val="es-MX"/>
        </w:rPr>
      </w:pPr>
      <w:r>
        <w:rPr>
          <w:rFonts w:ascii="Georgia" w:hAnsi="Georgia"/>
          <w:noProof/>
          <w:color w:val="000000"/>
          <w:lang w:val="es-MX" w:eastAsia="es-MX"/>
        </w:rPr>
        <w:drawing>
          <wp:inline distT="0" distB="0" distL="0" distR="0">
            <wp:extent cx="2562860" cy="1780540"/>
            <wp:effectExtent l="19050" t="0" r="8890" b="0"/>
            <wp:docPr id="2" name="Imagen 11" descr="C:\Users\vegah\Pictures\Saved Pictures\RO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egah\Pictures\Saved Pictures\RODIO.jpg"/>
                    <pic:cNvPicPr>
                      <a:picLocks noChangeAspect="1" noChangeArrowheads="1"/>
                    </pic:cNvPicPr>
                  </pic:nvPicPr>
                  <pic:blipFill>
                    <a:blip r:embed="rId7"/>
                    <a:srcRect/>
                    <a:stretch>
                      <a:fillRect/>
                    </a:stretch>
                  </pic:blipFill>
                  <pic:spPr bwMode="auto">
                    <a:xfrm>
                      <a:off x="0" y="0"/>
                      <a:ext cx="2562860" cy="1780540"/>
                    </a:xfrm>
                    <a:prstGeom prst="rect">
                      <a:avLst/>
                    </a:prstGeom>
                    <a:noFill/>
                    <a:ln w="9525">
                      <a:noFill/>
                      <a:miter lim="800000"/>
                      <a:headEnd/>
                      <a:tailEnd/>
                    </a:ln>
                  </pic:spPr>
                </pic:pic>
              </a:graphicData>
            </a:graphic>
          </wp:inline>
        </w:drawing>
      </w:r>
      <w:r>
        <w:rPr>
          <w:rFonts w:ascii="Georgia" w:hAnsi="Georgia"/>
          <w:noProof/>
          <w:color w:val="000000"/>
          <w:lang w:val="es-MX" w:eastAsia="es-MX"/>
        </w:rPr>
        <w:drawing>
          <wp:inline distT="0" distB="0" distL="0" distR="0">
            <wp:extent cx="2847340" cy="1600200"/>
            <wp:effectExtent l="19050" t="0" r="0" b="0"/>
            <wp:docPr id="3" name="Imagen 12" descr="C:\Users\vegah\Pictures\Saved Pictures\O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egah\Pictures\Saved Pictures\ORO.jpg"/>
                    <pic:cNvPicPr>
                      <a:picLocks noChangeAspect="1" noChangeArrowheads="1"/>
                    </pic:cNvPicPr>
                  </pic:nvPicPr>
                  <pic:blipFill>
                    <a:blip r:embed="rId8"/>
                    <a:srcRect/>
                    <a:stretch>
                      <a:fillRect/>
                    </a:stretch>
                  </pic:blipFill>
                  <pic:spPr bwMode="auto">
                    <a:xfrm>
                      <a:off x="0" y="0"/>
                      <a:ext cx="2847340" cy="1600200"/>
                    </a:xfrm>
                    <a:prstGeom prst="rect">
                      <a:avLst/>
                    </a:prstGeom>
                    <a:noFill/>
                    <a:ln w="9525">
                      <a:noFill/>
                      <a:miter lim="800000"/>
                      <a:headEnd/>
                      <a:tailEnd/>
                    </a:ln>
                  </pic:spPr>
                </pic:pic>
              </a:graphicData>
            </a:graphic>
          </wp:inline>
        </w:drawing>
      </w:r>
    </w:p>
    <w:p w:rsidR="006857A0" w:rsidRPr="00265CAF" w:rsidRDefault="006857A0" w:rsidP="006857A0">
      <w:pPr>
        <w:pStyle w:val="NormalWeb"/>
        <w:shd w:val="clear" w:color="auto" w:fill="FFFFFF"/>
        <w:spacing w:after="360" w:afterAutospacing="0"/>
        <w:jc w:val="both"/>
        <w:rPr>
          <w:rFonts w:ascii="Georgia" w:hAnsi="Georgia" w:cs="Arial"/>
          <w:color w:val="202124"/>
          <w:shd w:val="clear" w:color="auto" w:fill="FFFFFF"/>
          <w:lang w:val="es-MX"/>
        </w:rPr>
      </w:pPr>
      <w:r w:rsidRPr="00265CAF">
        <w:rPr>
          <w:rFonts w:ascii="Georgia" w:hAnsi="Georgia"/>
          <w:color w:val="000000"/>
          <w:lang w:val="es-MX"/>
        </w:rPr>
        <w:t>El SIPRI Military Expenditure Database</w:t>
      </w:r>
      <w:r>
        <w:rPr>
          <w:rFonts w:ascii="Georgia" w:hAnsi="Georgia"/>
          <w:color w:val="000000"/>
          <w:lang w:val="es-MX"/>
        </w:rPr>
        <w:t>, del Instituto Internacional de Estudios para la Paz de Estocolmo señala en la</w:t>
      </w:r>
      <w:r w:rsidRPr="00265CAF">
        <w:rPr>
          <w:rFonts w:ascii="Georgia" w:hAnsi="Georgia"/>
          <w:color w:val="000000"/>
          <w:lang w:val="es-MX"/>
        </w:rPr>
        <w:t xml:space="preserve"> serie </w:t>
      </w:r>
      <w:r>
        <w:rPr>
          <w:rFonts w:ascii="Georgia" w:hAnsi="Georgia"/>
          <w:color w:val="000000"/>
          <w:lang w:val="es-MX"/>
        </w:rPr>
        <w:t xml:space="preserve">de tiempo que estudia el gasto militar, </w:t>
      </w:r>
      <w:r w:rsidRPr="00265CAF">
        <w:rPr>
          <w:rFonts w:ascii="Georgia" w:hAnsi="Georgia"/>
          <w:color w:val="000000"/>
          <w:lang w:val="es-MX"/>
        </w:rPr>
        <w:t>1949–2021</w:t>
      </w:r>
      <w:r>
        <w:rPr>
          <w:rFonts w:ascii="Georgia" w:hAnsi="Georgia"/>
          <w:color w:val="000000"/>
          <w:lang w:val="es-MX"/>
        </w:rPr>
        <w:t>, que en 2021 ese gasto alcanzó niveles record en Rusia a raíz de la guerra en Ucrania. Ese año los países incrementaron el gasto militar en 0,7%, alcanzando 2,1 billones de dólares. En Rusia el gasto militar representó 4,1% del PIB, proporción más alta que la media mundial. Estados Unidos es el que más invierte en armas con 801,000 millones, el presupuesto de China es de 293 mil millones, India incurrió en gastos por 76 mil 600 millones, UK se ubicó en cuarto lugar con un incremento de 3%, elevándose a 68,400 millones de dólares.</w:t>
      </w:r>
    </w:p>
    <w:p w:rsidR="006857A0" w:rsidRPr="004465B4" w:rsidRDefault="006857A0" w:rsidP="006857A0">
      <w:pPr>
        <w:shd w:val="clear" w:color="auto" w:fill="FFFFFF"/>
        <w:spacing w:before="100" w:beforeAutospacing="1" w:after="24" w:line="240" w:lineRule="auto"/>
        <w:jc w:val="both"/>
        <w:rPr>
          <w:rFonts w:ascii="Georgia" w:hAnsi="Georgia" w:cs="Arial"/>
          <w:sz w:val="24"/>
          <w:szCs w:val="24"/>
          <w:lang w:val="es-MX"/>
        </w:rPr>
      </w:pPr>
      <w:r w:rsidRPr="00F56099">
        <w:rPr>
          <w:rFonts w:ascii="Georgia" w:hAnsi="Georgia" w:cs="Arial"/>
          <w:b/>
          <w:color w:val="202124"/>
          <w:sz w:val="24"/>
          <w:szCs w:val="24"/>
          <w:shd w:val="clear" w:color="auto" w:fill="FFFFFF"/>
        </w:rPr>
        <w:t>2</w:t>
      </w:r>
      <w:r w:rsidRPr="00F56099">
        <w:rPr>
          <w:rFonts w:ascii="Georgia" w:hAnsi="Georgia" w:cs="Arial"/>
          <w:color w:val="202124"/>
          <w:sz w:val="24"/>
          <w:szCs w:val="24"/>
          <w:shd w:val="clear" w:color="auto" w:fill="FFFFFF"/>
        </w:rPr>
        <w:t xml:space="preserve">  </w:t>
      </w:r>
      <w:r>
        <w:rPr>
          <w:rFonts w:ascii="Georgia" w:eastAsia="Times New Roman" w:hAnsi="Georgia" w:cs="Times New Roman"/>
          <w:sz w:val="24"/>
          <w:szCs w:val="24"/>
          <w:lang w:val="es-MX" w:eastAsia="es-MX"/>
        </w:rPr>
        <w:t xml:space="preserve">La comercialización de una de las sustancias minerales contenidas en el no pago de los subproductos es el oro, metal cuya venta aparece ligada a las políticas de los Bancos Centrales que ante las incertidumbres de los pagos internacionales y las presiones inflacionarias, ya sea de demanda o de oferta, buscan una nueva referencia de reserva a saber el dólar. </w:t>
      </w:r>
      <w:r w:rsidRPr="00F56099">
        <w:rPr>
          <w:rFonts w:ascii="Georgia" w:hAnsi="Georgia" w:cs="Arial"/>
          <w:color w:val="202124"/>
          <w:sz w:val="24"/>
          <w:szCs w:val="24"/>
          <w:shd w:val="clear" w:color="auto" w:fill="FFFFFF"/>
        </w:rPr>
        <w:t>Ante la incertidumbre, los Bancos Centrales incrementan sus reservas en oro como depósitos de valor. Según estadísticas del FMI el valor total de oro extraído se elevaría US $8,42 billones de dólares.</w:t>
      </w:r>
      <w:r>
        <w:rPr>
          <w:rFonts w:ascii="Georgia" w:hAnsi="Georgia" w:cs="Arial"/>
          <w:color w:val="202124"/>
          <w:shd w:val="clear" w:color="auto" w:fill="FFFFFF"/>
        </w:rPr>
        <w:t xml:space="preserve"> </w:t>
      </w:r>
      <w:r w:rsidRPr="00296C4C">
        <w:rPr>
          <w:rFonts w:ascii="Georgia" w:hAnsi="Georgia" w:cs="Arial"/>
          <w:color w:val="202124"/>
          <w:sz w:val="24"/>
          <w:szCs w:val="24"/>
          <w:shd w:val="clear" w:color="auto" w:fill="FFFFFF"/>
          <w:lang w:val="es-MX"/>
        </w:rPr>
        <w:t xml:space="preserve">Según cifras </w:t>
      </w:r>
      <w:r w:rsidRPr="004465B4">
        <w:rPr>
          <w:rFonts w:ascii="Georgia" w:hAnsi="Georgia" w:cs="Arial"/>
          <w:color w:val="202124"/>
          <w:sz w:val="24"/>
          <w:szCs w:val="24"/>
          <w:shd w:val="clear" w:color="auto" w:fill="FFFFFF"/>
          <w:lang w:val="es-MX"/>
        </w:rPr>
        <w:t xml:space="preserve">del </w:t>
      </w:r>
      <w:hyperlink r:id="rId9" w:history="1">
        <w:r w:rsidRPr="00816543">
          <w:rPr>
            <w:rStyle w:val="Hipervnculo"/>
            <w:rFonts w:ascii="Georgia" w:hAnsi="Georgia" w:cs="Arial"/>
            <w:i/>
            <w:color w:val="auto"/>
            <w:sz w:val="24"/>
            <w:szCs w:val="24"/>
            <w:u w:val="none"/>
            <w:lang w:val="es-MX"/>
          </w:rPr>
          <w:t>World Gold Council</w:t>
        </w:r>
      </w:hyperlink>
      <w:r w:rsidRPr="00816543">
        <w:rPr>
          <w:rStyle w:val="citation"/>
          <w:rFonts w:ascii="Georgia" w:hAnsi="Georgia" w:cs="Arial"/>
          <w:i/>
          <w:sz w:val="24"/>
          <w:szCs w:val="24"/>
          <w:lang w:val="es-MX"/>
        </w:rPr>
        <w:t xml:space="preserve"> </w:t>
      </w:r>
      <w:r w:rsidRPr="004465B4">
        <w:rPr>
          <w:rStyle w:val="citation"/>
          <w:rFonts w:ascii="Georgia" w:hAnsi="Georgia" w:cs="Arial"/>
          <w:sz w:val="24"/>
          <w:szCs w:val="24"/>
          <w:lang w:val="es-MX"/>
        </w:rPr>
        <w:t>(marzo 2022) y del</w:t>
      </w:r>
      <w:hyperlink r:id="rId10" w:history="1">
        <w:r w:rsidRPr="004465B4">
          <w:rPr>
            <w:rStyle w:val="Hipervnculo"/>
            <w:rFonts w:ascii="Georgia" w:hAnsi="Georgia" w:cs="Arial"/>
            <w:color w:val="auto"/>
            <w:sz w:val="24"/>
            <w:szCs w:val="24"/>
            <w:u w:val="none"/>
            <w:lang w:val="es-MX"/>
          </w:rPr>
          <w:t xml:space="preserve"> </w:t>
        </w:r>
        <w:r w:rsidRPr="00816543">
          <w:rPr>
            <w:rStyle w:val="Hipervnculo"/>
            <w:rFonts w:ascii="Georgia" w:hAnsi="Georgia" w:cs="Arial"/>
            <w:i/>
            <w:color w:val="auto"/>
            <w:sz w:val="24"/>
            <w:szCs w:val="24"/>
            <w:u w:val="none"/>
            <w:lang w:val="es-MX"/>
          </w:rPr>
          <w:t>World Official Gold Holdings</w:t>
        </w:r>
        <w:r w:rsidRPr="004465B4">
          <w:rPr>
            <w:rStyle w:val="Hipervnculo"/>
            <w:rFonts w:ascii="Georgia" w:hAnsi="Georgia" w:cs="Arial"/>
            <w:color w:val="auto"/>
            <w:sz w:val="24"/>
            <w:szCs w:val="24"/>
            <w:u w:val="none"/>
            <w:lang w:val="es-MX"/>
          </w:rPr>
          <w:t xml:space="preserve"> (febrero de 2020)</w:t>
        </w:r>
      </w:hyperlink>
      <w:r>
        <w:rPr>
          <w:rStyle w:val="citation"/>
          <w:rFonts w:ascii="Georgia" w:hAnsi="Georgia" w:cs="Arial"/>
          <w:sz w:val="24"/>
          <w:szCs w:val="24"/>
        </w:rPr>
        <w:t xml:space="preserve"> Estados Unidos detenta 77% de las reservas internacionales con 8 mil 133 toneladas; Alemania, 73,5% con 3,366 toneladas; Italia, 68,3% con 2,451 toneladas; Francia, 63,2% con 2,436 toneladas; Rusia 19,9% con 2,271; China 2,9% con 1,948 toneladas; Suiza </w:t>
      </w:r>
      <w:r w:rsidR="00DC37D7">
        <w:rPr>
          <w:rStyle w:val="citation"/>
          <w:rFonts w:ascii="Georgia" w:hAnsi="Georgia" w:cs="Arial"/>
          <w:sz w:val="24"/>
          <w:szCs w:val="24"/>
        </w:rPr>
        <w:t>6,0% con 1,</w:t>
      </w:r>
      <w:r>
        <w:rPr>
          <w:rStyle w:val="citation"/>
          <w:rFonts w:ascii="Georgia" w:hAnsi="Georgia" w:cs="Arial"/>
          <w:sz w:val="24"/>
          <w:szCs w:val="24"/>
        </w:rPr>
        <w:t>040 toneladas; India 633 toneladas con 6,8%; Japón 2,8% con 765 toneladas</w:t>
      </w:r>
      <w:r w:rsidRPr="004465B4">
        <w:rPr>
          <w:rFonts w:ascii="Georgia" w:hAnsi="Georgia" w:cs="Arial"/>
          <w:sz w:val="24"/>
          <w:szCs w:val="24"/>
          <w:lang w:val="es-MX"/>
        </w:rPr>
        <w:t xml:space="preserve"> </w:t>
      </w:r>
      <w:r>
        <w:rPr>
          <w:rFonts w:ascii="Georgia" w:hAnsi="Georgia" w:cs="Arial"/>
          <w:sz w:val="24"/>
          <w:szCs w:val="24"/>
          <w:lang w:val="es-MX"/>
        </w:rPr>
        <w:t>etcétera. El motivo de precaución de los privados es un hecho notor</w:t>
      </w:r>
      <w:r w:rsidR="00816543">
        <w:rPr>
          <w:rFonts w:ascii="Georgia" w:hAnsi="Georgia" w:cs="Arial"/>
          <w:sz w:val="24"/>
          <w:szCs w:val="24"/>
          <w:lang w:val="es-MX"/>
        </w:rPr>
        <w:t>io en tiempos de incertidumbre, pero muy menor comparado con los conflictos bélicos y acumulación de activos en oro de los Bancos Centrales en el mundo.</w:t>
      </w:r>
    </w:p>
    <w:p w:rsidR="006857A0" w:rsidRDefault="006857A0" w:rsidP="006857A0">
      <w:pPr>
        <w:spacing w:after="0" w:line="240" w:lineRule="auto"/>
        <w:jc w:val="both"/>
        <w:rPr>
          <w:rFonts w:ascii="Georgia" w:eastAsia="Times New Roman" w:hAnsi="Georgia" w:cs="Times New Roman"/>
          <w:sz w:val="24"/>
          <w:szCs w:val="24"/>
          <w:lang w:val="es-MX" w:eastAsia="es-MX"/>
        </w:rPr>
      </w:pPr>
    </w:p>
    <w:p w:rsidR="006857A0" w:rsidRDefault="006857A0" w:rsidP="006857A0">
      <w:pPr>
        <w:spacing w:after="0" w:line="240" w:lineRule="auto"/>
        <w:jc w:val="both"/>
        <w:rPr>
          <w:rFonts w:ascii="Georgia" w:eastAsia="Times New Roman" w:hAnsi="Georgia" w:cs="Times New Roman"/>
          <w:sz w:val="24"/>
          <w:szCs w:val="24"/>
          <w:lang w:val="es-MX" w:eastAsia="es-MX"/>
        </w:rPr>
      </w:pPr>
      <w:r w:rsidRPr="00593710">
        <w:rPr>
          <w:rFonts w:ascii="Georgia" w:eastAsia="Times New Roman" w:hAnsi="Georgia" w:cs="Times New Roman"/>
          <w:b/>
          <w:sz w:val="28"/>
          <w:szCs w:val="28"/>
          <w:lang w:val="es-MX" w:eastAsia="es-MX"/>
        </w:rPr>
        <w:t>8.</w:t>
      </w:r>
      <w:r>
        <w:rPr>
          <w:rFonts w:ascii="Georgia" w:eastAsia="Times New Roman" w:hAnsi="Georgia" w:cs="Times New Roman"/>
          <w:sz w:val="24"/>
          <w:szCs w:val="24"/>
          <w:lang w:val="es-MX" w:eastAsia="es-MX"/>
        </w:rPr>
        <w:t xml:space="preserve"> Factores institucionales</w:t>
      </w:r>
    </w:p>
    <w:p w:rsidR="006857A0" w:rsidRDefault="006857A0" w:rsidP="006857A0">
      <w:pPr>
        <w:spacing w:after="0" w:line="240" w:lineRule="auto"/>
        <w:jc w:val="both"/>
        <w:rPr>
          <w:rFonts w:ascii="Georgia" w:eastAsia="Times New Roman" w:hAnsi="Georgia" w:cs="Times New Roman"/>
          <w:sz w:val="24"/>
          <w:szCs w:val="24"/>
          <w:lang w:val="es-MX" w:eastAsia="es-MX"/>
        </w:rPr>
      </w:pPr>
    </w:p>
    <w:p w:rsidR="006857A0" w:rsidRDefault="006857A0" w:rsidP="006857A0">
      <w:pPr>
        <w:shd w:val="clear" w:color="auto" w:fill="FFFFFF"/>
        <w:spacing w:after="0" w:line="240" w:lineRule="auto"/>
        <w:jc w:val="both"/>
        <w:rPr>
          <w:rFonts w:ascii="Georgia" w:hAnsi="Georgia"/>
          <w:color w:val="222222"/>
          <w:sz w:val="24"/>
          <w:szCs w:val="24"/>
          <w:shd w:val="clear" w:color="auto" w:fill="FFFFFF"/>
        </w:rPr>
      </w:pPr>
      <w:r w:rsidRPr="007464E7">
        <w:rPr>
          <w:rFonts w:ascii="Georgia" w:eastAsia="Times New Roman" w:hAnsi="Georgia" w:cs="Calibri"/>
          <w:b/>
          <w:color w:val="222222"/>
          <w:sz w:val="24"/>
          <w:szCs w:val="24"/>
          <w:lang w:val="es-MX" w:eastAsia="es-MX"/>
        </w:rPr>
        <w:t>1</w:t>
      </w:r>
      <w:r>
        <w:rPr>
          <w:rFonts w:ascii="Georgia" w:eastAsia="Times New Roman" w:hAnsi="Georgia" w:cs="Calibri"/>
          <w:color w:val="222222"/>
          <w:sz w:val="24"/>
          <w:szCs w:val="24"/>
          <w:lang w:val="es-MX" w:eastAsia="es-MX"/>
        </w:rPr>
        <w:t xml:space="preserve"> </w:t>
      </w:r>
      <w:r w:rsidR="00001458">
        <w:rPr>
          <w:rFonts w:ascii="Georgia" w:eastAsia="Times New Roman" w:hAnsi="Georgia" w:cs="Calibri"/>
          <w:color w:val="222222"/>
          <w:sz w:val="24"/>
          <w:szCs w:val="24"/>
          <w:lang w:val="es-MX" w:eastAsia="es-MX"/>
        </w:rPr>
        <w:t xml:space="preserve"> </w:t>
      </w:r>
      <w:r>
        <w:rPr>
          <w:rFonts w:ascii="Georgia" w:eastAsia="Times New Roman" w:hAnsi="Georgia" w:cs="Calibri"/>
          <w:color w:val="222222"/>
          <w:sz w:val="24"/>
          <w:szCs w:val="24"/>
          <w:lang w:val="es-MX" w:eastAsia="es-MX"/>
        </w:rPr>
        <w:t xml:space="preserve">El servicio </w:t>
      </w:r>
      <w:r w:rsidRPr="007464E7">
        <w:rPr>
          <w:rFonts w:ascii="Georgia" w:hAnsi="Georgia"/>
          <w:color w:val="222222"/>
          <w:sz w:val="24"/>
          <w:szCs w:val="24"/>
          <w:shd w:val="clear" w:color="auto" w:fill="FFFFFF"/>
        </w:rPr>
        <w:t>de</w:t>
      </w:r>
      <w:r>
        <w:rPr>
          <w:rFonts w:ascii="Georgia" w:hAnsi="Georgia"/>
          <w:color w:val="222222"/>
          <w:sz w:val="24"/>
          <w:szCs w:val="24"/>
          <w:shd w:val="clear" w:color="auto" w:fill="FFFFFF"/>
        </w:rPr>
        <w:t xml:space="preserve"> </w:t>
      </w:r>
      <w:r w:rsidRPr="007464E7">
        <w:rPr>
          <w:rFonts w:ascii="Georgia" w:hAnsi="Georgia"/>
          <w:color w:val="222222"/>
          <w:sz w:val="24"/>
          <w:szCs w:val="24"/>
          <w:shd w:val="clear" w:color="auto" w:fill="FFFFFF"/>
        </w:rPr>
        <w:t xml:space="preserve">Aduanas </w:t>
      </w:r>
      <w:r>
        <w:rPr>
          <w:rFonts w:ascii="Georgia" w:hAnsi="Georgia"/>
          <w:color w:val="222222"/>
          <w:sz w:val="24"/>
          <w:szCs w:val="24"/>
          <w:shd w:val="clear" w:color="auto" w:fill="FFFFFF"/>
        </w:rPr>
        <w:t>es fundamental para fiscalizar</w:t>
      </w:r>
      <w:r w:rsidRPr="007464E7">
        <w:rPr>
          <w:rFonts w:ascii="Georgia" w:hAnsi="Georgia"/>
          <w:color w:val="222222"/>
          <w:sz w:val="24"/>
          <w:szCs w:val="24"/>
          <w:shd w:val="clear" w:color="auto" w:fill="FFFFFF"/>
        </w:rPr>
        <w:t xml:space="preserve"> </w:t>
      </w:r>
      <w:r>
        <w:rPr>
          <w:rFonts w:ascii="Georgia" w:hAnsi="Georgia"/>
          <w:color w:val="222222"/>
          <w:sz w:val="24"/>
          <w:szCs w:val="24"/>
          <w:shd w:val="clear" w:color="auto" w:fill="FFFFFF"/>
        </w:rPr>
        <w:t xml:space="preserve">los subproductos y cantidad que contienen los concentrados de cobre. </w:t>
      </w:r>
      <w:r w:rsidR="00816543">
        <w:rPr>
          <w:rFonts w:ascii="Georgia" w:hAnsi="Georgia"/>
          <w:color w:val="222222"/>
          <w:sz w:val="24"/>
          <w:szCs w:val="24"/>
          <w:shd w:val="clear" w:color="auto" w:fill="FFFFFF"/>
        </w:rPr>
        <w:t xml:space="preserve">Todo indica que este servicio no cumple con el mandato que le otorga la ley. </w:t>
      </w:r>
      <w:r>
        <w:rPr>
          <w:rFonts w:ascii="Georgia" w:hAnsi="Georgia"/>
          <w:color w:val="222222"/>
          <w:sz w:val="24"/>
          <w:szCs w:val="24"/>
          <w:shd w:val="clear" w:color="auto" w:fill="FFFFFF"/>
        </w:rPr>
        <w:t xml:space="preserve">Una sugerencia recurrente, por su precio y cantidad que se ha detectado en los concentrados, es el control del </w:t>
      </w:r>
      <w:r w:rsidRPr="007464E7">
        <w:rPr>
          <w:rFonts w:ascii="Georgia" w:hAnsi="Georgia"/>
          <w:color w:val="222222"/>
          <w:sz w:val="24"/>
          <w:szCs w:val="24"/>
          <w:shd w:val="clear" w:color="auto" w:fill="FFFFFF"/>
        </w:rPr>
        <w:t>molibdeno así como de renio. El renio se obtiene mediante procesos de limpieza y tratamiento de concentrados de molibdeno. El precio de la sal de renio, es de US $</w:t>
      </w:r>
      <w:r w:rsidRPr="007464E7">
        <w:rPr>
          <w:rFonts w:ascii="Georgia" w:hAnsi="Georgia" w:cs="Arial"/>
          <w:color w:val="222222"/>
          <w:sz w:val="24"/>
          <w:szCs w:val="24"/>
          <w:shd w:val="clear" w:color="auto" w:fill="FFFFFF"/>
        </w:rPr>
        <w:t>2.000 Kg/sal de Renio</w:t>
      </w:r>
      <w:r>
        <w:rPr>
          <w:rFonts w:ascii="Georgia" w:hAnsi="Georgia" w:cs="Arial"/>
          <w:color w:val="222222"/>
          <w:sz w:val="24"/>
          <w:szCs w:val="24"/>
          <w:shd w:val="clear" w:color="auto" w:fill="FFFFFF"/>
        </w:rPr>
        <w:t xml:space="preserve"> y el precio del </w:t>
      </w:r>
      <w:r w:rsidRPr="007464E7">
        <w:rPr>
          <w:rFonts w:ascii="Georgia" w:hAnsi="Georgia"/>
          <w:color w:val="222222"/>
          <w:sz w:val="24"/>
          <w:szCs w:val="24"/>
          <w:shd w:val="clear" w:color="auto" w:fill="FFFFFF"/>
        </w:rPr>
        <w:t>molib</w:t>
      </w:r>
      <w:r>
        <w:rPr>
          <w:rFonts w:ascii="Georgia" w:hAnsi="Georgia"/>
          <w:color w:val="222222"/>
          <w:sz w:val="24"/>
          <w:szCs w:val="24"/>
          <w:shd w:val="clear" w:color="auto" w:fill="FFFFFF"/>
        </w:rPr>
        <w:t>deno es de US $46,50 kg.</w:t>
      </w:r>
      <w:r w:rsidRPr="007464E7">
        <w:rPr>
          <w:rFonts w:ascii="Georgia" w:hAnsi="Georgia" w:cs="Arial"/>
          <w:color w:val="222222"/>
          <w:sz w:val="24"/>
          <w:szCs w:val="24"/>
          <w:shd w:val="clear" w:color="auto" w:fill="FFFFFF"/>
        </w:rPr>
        <w:t xml:space="preserve"> </w:t>
      </w:r>
      <w:r w:rsidRPr="007464E7">
        <w:rPr>
          <w:rFonts w:ascii="Georgia" w:hAnsi="Georgia"/>
          <w:color w:val="222222"/>
          <w:sz w:val="24"/>
          <w:szCs w:val="24"/>
          <w:shd w:val="clear" w:color="auto" w:fill="FFFFFF"/>
        </w:rPr>
        <w:t xml:space="preserve">Basados en la ley 16624 que define la Gran Minería del cobre y el Decreto Ley 1349 de Cochilco del año 1976 que otorga al Presidente de la República la facultad de declarar el estanco del cobre por razones extraordinarias, se </w:t>
      </w:r>
      <w:r>
        <w:rPr>
          <w:rFonts w:ascii="Georgia" w:hAnsi="Georgia"/>
          <w:color w:val="222222"/>
          <w:sz w:val="24"/>
          <w:szCs w:val="24"/>
          <w:shd w:val="clear" w:color="auto" w:fill="FFFFFF"/>
        </w:rPr>
        <w:t xml:space="preserve">puede controlar legalmente la </w:t>
      </w:r>
      <w:r w:rsidRPr="007464E7">
        <w:rPr>
          <w:rFonts w:ascii="Georgia" w:hAnsi="Georgia"/>
          <w:color w:val="222222"/>
          <w:sz w:val="24"/>
          <w:szCs w:val="24"/>
          <w:shd w:val="clear" w:color="auto" w:fill="FFFFFF"/>
        </w:rPr>
        <w:t>prohibi</w:t>
      </w:r>
      <w:r>
        <w:rPr>
          <w:rFonts w:ascii="Georgia" w:hAnsi="Georgia"/>
          <w:color w:val="222222"/>
          <w:sz w:val="24"/>
          <w:szCs w:val="24"/>
          <w:shd w:val="clear" w:color="auto" w:fill="FFFFFF"/>
        </w:rPr>
        <w:t>ción de exportar</w:t>
      </w:r>
      <w:r w:rsidRPr="007464E7">
        <w:rPr>
          <w:rFonts w:ascii="Georgia" w:hAnsi="Georgia"/>
          <w:color w:val="222222"/>
          <w:sz w:val="24"/>
          <w:szCs w:val="24"/>
          <w:shd w:val="clear" w:color="auto" w:fill="FFFFFF"/>
        </w:rPr>
        <w:t xml:space="preserve"> </w:t>
      </w:r>
      <w:r>
        <w:rPr>
          <w:rFonts w:ascii="Georgia" w:hAnsi="Georgia"/>
          <w:color w:val="222222"/>
          <w:sz w:val="24"/>
          <w:szCs w:val="24"/>
          <w:shd w:val="clear" w:color="auto" w:fill="FFFFFF"/>
        </w:rPr>
        <w:t xml:space="preserve">los </w:t>
      </w:r>
      <w:r w:rsidRPr="007464E7">
        <w:rPr>
          <w:rFonts w:ascii="Georgia" w:hAnsi="Georgia"/>
          <w:color w:val="222222"/>
          <w:sz w:val="24"/>
          <w:szCs w:val="24"/>
          <w:shd w:val="clear" w:color="auto" w:fill="FFFFFF"/>
        </w:rPr>
        <w:t xml:space="preserve">concentrados. Con ello se eliminará el negocio de los subproductos </w:t>
      </w:r>
      <w:r w:rsidR="00001458">
        <w:rPr>
          <w:rFonts w:ascii="Georgia" w:hAnsi="Georgia"/>
          <w:color w:val="222222"/>
          <w:sz w:val="24"/>
          <w:szCs w:val="24"/>
          <w:shd w:val="clear" w:color="auto" w:fill="FFFFFF"/>
        </w:rPr>
        <w:t>aquí citado</w:t>
      </w:r>
      <w:r>
        <w:rPr>
          <w:rFonts w:ascii="Georgia" w:hAnsi="Georgia"/>
          <w:color w:val="222222"/>
          <w:sz w:val="24"/>
          <w:szCs w:val="24"/>
          <w:shd w:val="clear" w:color="auto" w:fill="FFFFFF"/>
        </w:rPr>
        <w:t>, que pese a</w:t>
      </w:r>
      <w:r w:rsidRPr="007464E7">
        <w:rPr>
          <w:rFonts w:ascii="Georgia" w:hAnsi="Georgia"/>
          <w:color w:val="222222"/>
          <w:sz w:val="24"/>
          <w:szCs w:val="24"/>
          <w:shd w:val="clear" w:color="auto" w:fill="FFFFFF"/>
        </w:rPr>
        <w:t xml:space="preserve">l alza en </w:t>
      </w:r>
      <w:r>
        <w:rPr>
          <w:rFonts w:ascii="Georgia" w:hAnsi="Georgia"/>
          <w:color w:val="222222"/>
          <w:sz w:val="24"/>
          <w:szCs w:val="24"/>
          <w:shd w:val="clear" w:color="auto" w:fill="FFFFFF"/>
        </w:rPr>
        <w:t xml:space="preserve">su valor de mercado es solo </w:t>
      </w:r>
      <w:r w:rsidRPr="007464E7">
        <w:rPr>
          <w:rFonts w:ascii="Georgia" w:hAnsi="Georgia"/>
          <w:color w:val="222222"/>
          <w:sz w:val="24"/>
          <w:szCs w:val="24"/>
          <w:shd w:val="clear" w:color="auto" w:fill="FFFFFF"/>
        </w:rPr>
        <w:t xml:space="preserve">una pequeña parte de lo que en realidad se saca del país sin pagar los debidos derechos de aduana. </w:t>
      </w:r>
    </w:p>
    <w:p w:rsidR="006857A0" w:rsidRDefault="006857A0" w:rsidP="006857A0">
      <w:pPr>
        <w:shd w:val="clear" w:color="auto" w:fill="FFFFFF"/>
        <w:spacing w:after="0" w:line="240" w:lineRule="auto"/>
        <w:jc w:val="both"/>
        <w:rPr>
          <w:rFonts w:ascii="Georgia" w:hAnsi="Georgia"/>
          <w:color w:val="222222"/>
          <w:sz w:val="24"/>
          <w:szCs w:val="24"/>
          <w:shd w:val="clear" w:color="auto" w:fill="FFFFFF"/>
        </w:rPr>
      </w:pPr>
    </w:p>
    <w:p w:rsidR="006857A0" w:rsidRDefault="006857A0" w:rsidP="006857A0">
      <w:pPr>
        <w:shd w:val="clear" w:color="auto" w:fill="FFFFFF"/>
        <w:spacing w:after="0" w:line="240" w:lineRule="auto"/>
        <w:jc w:val="both"/>
        <w:rPr>
          <w:rFonts w:ascii="Georgia" w:hAnsi="Georgia"/>
          <w:color w:val="222222"/>
          <w:sz w:val="24"/>
          <w:szCs w:val="24"/>
          <w:shd w:val="clear" w:color="auto" w:fill="FFFFFF"/>
        </w:rPr>
      </w:pPr>
    </w:p>
    <w:p w:rsidR="006857A0" w:rsidRDefault="006857A0" w:rsidP="006857A0">
      <w:pPr>
        <w:shd w:val="clear" w:color="auto" w:fill="FFFFFF"/>
        <w:spacing w:after="0" w:line="240" w:lineRule="auto"/>
        <w:jc w:val="both"/>
        <w:rPr>
          <w:rFonts w:ascii="Georgia" w:eastAsia="Times New Roman" w:hAnsi="Georgia" w:cs="Segoe UI"/>
          <w:sz w:val="24"/>
          <w:szCs w:val="24"/>
          <w:lang w:val="es-MX" w:eastAsia="es-MX"/>
        </w:rPr>
      </w:pPr>
      <w:r w:rsidRPr="00593710">
        <w:rPr>
          <w:rFonts w:ascii="Georgia" w:hAnsi="Georgia"/>
          <w:b/>
          <w:color w:val="222222"/>
          <w:sz w:val="24"/>
          <w:szCs w:val="24"/>
          <w:shd w:val="clear" w:color="auto" w:fill="FFFFFF"/>
        </w:rPr>
        <w:t>2</w:t>
      </w:r>
      <w:r>
        <w:rPr>
          <w:rFonts w:ascii="Georgia" w:hAnsi="Georgia"/>
          <w:color w:val="222222"/>
          <w:sz w:val="24"/>
          <w:szCs w:val="24"/>
          <w:shd w:val="clear" w:color="auto" w:fill="FFFFFF"/>
        </w:rPr>
        <w:t xml:space="preserve"> </w:t>
      </w:r>
      <w:r w:rsidR="00001458">
        <w:rPr>
          <w:rFonts w:ascii="Georgia" w:hAnsi="Georgia"/>
          <w:color w:val="222222"/>
          <w:sz w:val="24"/>
          <w:szCs w:val="24"/>
          <w:shd w:val="clear" w:color="auto" w:fill="FFFFFF"/>
        </w:rPr>
        <w:t xml:space="preserve"> </w:t>
      </w:r>
      <w:r w:rsidRPr="007464E7">
        <w:rPr>
          <w:rFonts w:ascii="Georgia" w:hAnsi="Georgia" w:cs="Arial"/>
          <w:color w:val="222222"/>
          <w:sz w:val="24"/>
          <w:szCs w:val="24"/>
          <w:shd w:val="clear" w:color="auto" w:fill="FFFFFF"/>
        </w:rPr>
        <w:t>L</w:t>
      </w:r>
      <w:r w:rsidRPr="007464E7">
        <w:rPr>
          <w:rFonts w:ascii="Georgia" w:eastAsia="Times New Roman" w:hAnsi="Georgia" w:cs="Times New Roman"/>
          <w:sz w:val="24"/>
          <w:szCs w:val="24"/>
          <w:lang w:val="es-MX" w:eastAsia="es-MX"/>
        </w:rPr>
        <w:t>os sub productos justifican la expansión en refinerías en Chile y plantas de flotación para molibdeno. El costo de ellas se paga con menos de un año de producción y recuperación.</w:t>
      </w:r>
      <w:r>
        <w:rPr>
          <w:rFonts w:ascii="Georgia" w:eastAsia="Times New Roman" w:hAnsi="Georgia" w:cs="Times New Roman"/>
          <w:sz w:val="24"/>
          <w:szCs w:val="24"/>
          <w:lang w:val="es-MX" w:eastAsia="es-MX"/>
        </w:rPr>
        <w:t xml:space="preserve"> </w:t>
      </w:r>
      <w:r w:rsidRPr="00295394">
        <w:rPr>
          <w:rFonts w:ascii="Georgia" w:eastAsia="Times New Roman" w:hAnsi="Georgia" w:cs="Times New Roman"/>
          <w:color w:val="222222"/>
          <w:sz w:val="24"/>
          <w:szCs w:val="24"/>
          <w:lang w:val="es-MX" w:eastAsia="es-MX"/>
        </w:rPr>
        <w:t xml:space="preserve">El tema preocupa por sus consecuencias en las cuentas externas de los países así como la credibilidad en las relaciones comerciales. </w:t>
      </w:r>
      <w:r>
        <w:rPr>
          <w:rFonts w:ascii="Georgia" w:eastAsia="Times New Roman" w:hAnsi="Georgia" w:cs="Segoe UI"/>
          <w:sz w:val="24"/>
          <w:szCs w:val="24"/>
          <w:lang w:val="es-MX" w:eastAsia="es-MX"/>
        </w:rPr>
        <w:t>Si este fraude sigue, adquirirá proporciones incalculables cuando el precio del cobre en los mercados internacionales se transe entre US $5 y US $5,50 la libra según las</w:t>
      </w:r>
      <w:r w:rsidR="00816543">
        <w:rPr>
          <w:rFonts w:ascii="Georgia" w:eastAsia="Times New Roman" w:hAnsi="Georgia" w:cs="Segoe UI"/>
          <w:sz w:val="24"/>
          <w:szCs w:val="24"/>
          <w:lang w:val="es-MX" w:eastAsia="es-MX"/>
        </w:rPr>
        <w:t xml:space="preserve"> estimaciones de Goldman Sachs.</w:t>
      </w:r>
    </w:p>
    <w:p w:rsidR="006857A0" w:rsidRDefault="006857A0" w:rsidP="006857A0">
      <w:pPr>
        <w:pStyle w:val="NormalWeb"/>
        <w:shd w:val="clear" w:color="auto" w:fill="FFFFFF"/>
        <w:spacing w:after="360" w:afterAutospacing="0"/>
        <w:jc w:val="both"/>
        <w:rPr>
          <w:rFonts w:ascii="Georgia" w:hAnsi="Georgia" w:cs="Arial"/>
          <w:color w:val="202124"/>
          <w:shd w:val="clear" w:color="auto" w:fill="FFFFFF"/>
        </w:rPr>
      </w:pPr>
      <w:r>
        <w:rPr>
          <w:rFonts w:ascii="Georgia" w:hAnsi="Georgia" w:cs="Arial"/>
          <w:color w:val="202124"/>
          <w:shd w:val="clear" w:color="auto" w:fill="FFFFFF"/>
        </w:rPr>
        <w:t>En 2014 Codelco firmó un contrato con la empresa coreana LS-Nikko para la construcción de una planta recuperadora de metales que opera desde 2016 en Mejillones. Procesa los barros anódicos que se generan en Ventanas y otras divisiones de Codelco. Actualmente existen</w:t>
      </w:r>
      <w:r w:rsidRPr="00B75B64">
        <w:rPr>
          <w:rFonts w:ascii="Georgia" w:hAnsi="Georgia" w:cs="Arial"/>
          <w:color w:val="202124"/>
          <w:shd w:val="clear" w:color="auto" w:fill="FFFFFF"/>
        </w:rPr>
        <w:t xml:space="preserve"> </w:t>
      </w:r>
      <w:r>
        <w:rPr>
          <w:rFonts w:ascii="Georgia" w:hAnsi="Georgia" w:cs="Arial"/>
          <w:color w:val="464646"/>
        </w:rPr>
        <w:t>5</w:t>
      </w:r>
      <w:r w:rsidRPr="00B75B64">
        <w:rPr>
          <w:rFonts w:ascii="Georgia" w:hAnsi="Georgia" w:cs="Arial"/>
          <w:color w:val="464646"/>
        </w:rPr>
        <w:t xml:space="preserve"> fundiciones, </w:t>
      </w:r>
      <w:r>
        <w:rPr>
          <w:rFonts w:ascii="Georgia" w:hAnsi="Georgia" w:cs="Arial"/>
          <w:color w:val="464646"/>
        </w:rPr>
        <w:t xml:space="preserve">Chuquicamata, </w:t>
      </w:r>
      <w:r w:rsidRPr="00B75B64">
        <w:rPr>
          <w:rFonts w:ascii="Georgia" w:hAnsi="Georgia" w:cs="Arial"/>
          <w:color w:val="464646"/>
        </w:rPr>
        <w:t>Potrerillos, Paipote, Ventanas, y Caletones y tres refinerías Chuqui, Potrerillos y Ventanas, las que completan la capacidad instalada en Chile, donde el principal impulsor ha sido Codelco.</w:t>
      </w:r>
      <w:r>
        <w:rPr>
          <w:rFonts w:ascii="Georgia" w:hAnsi="Georgia" w:cs="Arial"/>
          <w:color w:val="202124"/>
          <w:shd w:val="clear" w:color="auto" w:fill="FFFFFF"/>
        </w:rPr>
        <w:t xml:space="preserve"> Según mi información, Alto Norte (desarrollada por Refimet y actualmente propiedad de Xstrata) y Chagres (propiedad de Anglo American), no refinan en Chile metales valiosos, en consecuencia los exportan en forma de concentrados de metales valiosos y PGM.</w:t>
      </w:r>
    </w:p>
    <w:p w:rsidR="006857A0" w:rsidRDefault="006857A0" w:rsidP="006857A0">
      <w:pPr>
        <w:pStyle w:val="NormalWeb"/>
        <w:shd w:val="clear" w:color="auto" w:fill="FFFFFF"/>
        <w:spacing w:after="360" w:afterAutospacing="0"/>
        <w:jc w:val="both"/>
        <w:rPr>
          <w:rFonts w:ascii="Georgia" w:eastAsia="Times New Roman" w:hAnsi="Georgia" w:cs="Segoe UI"/>
          <w:lang w:eastAsia="es-MX"/>
        </w:rPr>
      </w:pPr>
      <w:r w:rsidRPr="00593710">
        <w:rPr>
          <w:rFonts w:ascii="Georgia" w:hAnsi="Georgia" w:cs="Arial"/>
          <w:b/>
          <w:color w:val="202124"/>
          <w:sz w:val="28"/>
          <w:szCs w:val="28"/>
          <w:shd w:val="clear" w:color="auto" w:fill="FFFFFF"/>
        </w:rPr>
        <w:t>9</w:t>
      </w:r>
      <w:r>
        <w:rPr>
          <w:rFonts w:ascii="Georgia" w:eastAsia="Times New Roman" w:hAnsi="Georgia" w:cs="Segoe UI"/>
          <w:lang w:eastAsia="es-MX"/>
        </w:rPr>
        <w:t xml:space="preserve"> </w:t>
      </w:r>
      <w:r w:rsidR="00001458">
        <w:rPr>
          <w:rFonts w:ascii="Georgia" w:eastAsia="Times New Roman" w:hAnsi="Georgia" w:cs="Segoe UI"/>
          <w:lang w:eastAsia="es-MX"/>
        </w:rPr>
        <w:t xml:space="preserve"> </w:t>
      </w:r>
      <w:r w:rsidRPr="00593710">
        <w:rPr>
          <w:rFonts w:ascii="Georgia" w:eastAsia="Times New Roman" w:hAnsi="Georgia" w:cs="Segoe UI"/>
          <w:b/>
          <w:lang w:eastAsia="es-MX"/>
        </w:rPr>
        <w:t>El rol de Codelco</w:t>
      </w:r>
    </w:p>
    <w:p w:rsidR="006857A0" w:rsidRPr="00593710" w:rsidRDefault="006857A0" w:rsidP="006857A0">
      <w:pPr>
        <w:pStyle w:val="NormalWeb"/>
        <w:shd w:val="clear" w:color="auto" w:fill="FFFFFF"/>
        <w:spacing w:after="360" w:afterAutospacing="0"/>
        <w:jc w:val="both"/>
        <w:rPr>
          <w:rFonts w:ascii="Georgia" w:hAnsi="Georgia" w:cs="Arial"/>
          <w:color w:val="202124"/>
          <w:shd w:val="clear" w:color="auto" w:fill="FFFFFF"/>
        </w:rPr>
      </w:pPr>
      <w:r>
        <w:rPr>
          <w:rFonts w:ascii="Georgia" w:eastAsia="Times New Roman" w:hAnsi="Georgia" w:cs="Segoe UI"/>
          <w:lang w:eastAsia="es-MX"/>
        </w:rPr>
        <w:t xml:space="preserve">El rol de Codelco </w:t>
      </w:r>
      <w:r>
        <w:rPr>
          <w:rFonts w:ascii="Georgia" w:eastAsia="Times New Roman" w:hAnsi="Georgia"/>
          <w:color w:val="222222"/>
          <w:lang w:val="es-MX" w:eastAsia="es-MX"/>
        </w:rPr>
        <w:t xml:space="preserve">debe ser restablecido según los principios que animaron su fundación. </w:t>
      </w:r>
      <w:r w:rsidRPr="00295394">
        <w:rPr>
          <w:rFonts w:ascii="Georgia" w:eastAsia="Times New Roman" w:hAnsi="Georgia"/>
          <w:color w:val="222222"/>
          <w:lang w:val="es-MX" w:eastAsia="es-MX"/>
        </w:rPr>
        <w:t>Desde 1971 con la nacionalización, Codelco ha aportado en los últimos 50 años US $122 mil millones (dólares de 2021). En los últimos 20 años ese aporte asciende a US $84 mil millones que equivalen a 11% de los ingresos fiscales totales.</w:t>
      </w:r>
      <w:r w:rsidRPr="004649E5">
        <w:rPr>
          <w:rFonts w:ascii="Georgia" w:eastAsia="Times New Roman" w:hAnsi="Georgia"/>
          <w:color w:val="222222"/>
          <w:lang w:val="es-MX" w:eastAsia="es-MX"/>
        </w:rPr>
        <w:t xml:space="preserve"> S</w:t>
      </w:r>
      <w:r w:rsidRPr="00295394">
        <w:rPr>
          <w:rFonts w:ascii="Georgia" w:eastAsia="Times New Roman" w:hAnsi="Georgia"/>
          <w:color w:val="222222"/>
          <w:lang w:val="es-MX" w:eastAsia="es-MX"/>
        </w:rPr>
        <w:t xml:space="preserve">obre la base de una producción total de </w:t>
      </w:r>
      <w:r w:rsidRPr="00767210">
        <w:rPr>
          <w:rFonts w:ascii="Georgia" w:eastAsia="Times New Roman" w:hAnsi="Georgia"/>
          <w:b/>
          <w:color w:val="222222"/>
          <w:lang w:val="es-MX" w:eastAsia="es-MX"/>
        </w:rPr>
        <w:t xml:space="preserve">5,58 millones de toneladas, Codelco aporta 1,72 millones de toneladas métricas de fino y el resto se refiere a las transnacionales mineras con 3,95 millones. </w:t>
      </w:r>
      <w:r w:rsidRPr="00295394">
        <w:rPr>
          <w:rFonts w:ascii="Georgia" w:eastAsia="Times New Roman" w:hAnsi="Georgia"/>
          <w:color w:val="222222"/>
          <w:lang w:val="es-MX" w:eastAsia="es-MX"/>
        </w:rPr>
        <w:t xml:space="preserve">Ahora bien para ese mismo año con un precio promedio de la libra de US $4,23 y un costo C3 de US $2,15 </w:t>
      </w:r>
      <w:r w:rsidRPr="004649E5">
        <w:rPr>
          <w:rFonts w:ascii="Georgia" w:eastAsia="Times New Roman" w:hAnsi="Georgia"/>
          <w:color w:val="222222"/>
          <w:lang w:val="es-MX" w:eastAsia="es-MX"/>
        </w:rPr>
        <w:t>Codelco obtuvo</w:t>
      </w:r>
      <w:r w:rsidRPr="00295394">
        <w:rPr>
          <w:rFonts w:ascii="Georgia" w:eastAsia="Times New Roman" w:hAnsi="Georgia"/>
          <w:color w:val="222222"/>
          <w:lang w:val="es-MX" w:eastAsia="es-MX"/>
        </w:rPr>
        <w:t xml:space="preserve"> un resul</w:t>
      </w:r>
      <w:r w:rsidRPr="004649E5">
        <w:rPr>
          <w:rFonts w:ascii="Georgia" w:eastAsia="Times New Roman" w:hAnsi="Georgia"/>
          <w:color w:val="222222"/>
          <w:lang w:val="es-MX" w:eastAsia="es-MX"/>
        </w:rPr>
        <w:t xml:space="preserve">tado financiero de </w:t>
      </w:r>
      <w:r w:rsidRPr="00295394">
        <w:rPr>
          <w:rFonts w:ascii="Georgia" w:eastAsia="Times New Roman" w:hAnsi="Georgia"/>
          <w:color w:val="222222"/>
          <w:lang w:val="es-MX" w:eastAsia="es-MX"/>
        </w:rPr>
        <w:t>US $7902 millones.</w:t>
      </w:r>
      <w:r w:rsidRPr="004649E5">
        <w:rPr>
          <w:rFonts w:ascii="Georgia" w:eastAsia="Times New Roman" w:hAnsi="Georgia"/>
          <w:color w:val="222222"/>
          <w:lang w:val="es-MX" w:eastAsia="es-MX"/>
        </w:rPr>
        <w:t xml:space="preserve"> Este patrimonio nacional debe ser preservado y desarrollado por lo que estimamos que las condiciones están dadas para que el Estado tome en sus manos el desarrollo de la industria minera.</w:t>
      </w:r>
    </w:p>
    <w:p w:rsidR="006857A0" w:rsidRPr="00FF2ED7" w:rsidRDefault="006857A0" w:rsidP="006857A0">
      <w:pPr>
        <w:spacing w:after="0" w:line="240" w:lineRule="auto"/>
        <w:jc w:val="both"/>
        <w:rPr>
          <w:rFonts w:ascii="Georgia" w:hAnsi="Georgia" w:cstheme="minorHAnsi"/>
          <w:sz w:val="24"/>
          <w:szCs w:val="24"/>
        </w:rPr>
      </w:pPr>
      <w:r>
        <w:rPr>
          <w:rFonts w:ascii="Georgia" w:hAnsi="Georgia" w:cstheme="minorHAnsi"/>
          <w:sz w:val="24"/>
          <w:szCs w:val="24"/>
        </w:rPr>
        <w:t xml:space="preserve">Más aun, </w:t>
      </w:r>
      <w:r w:rsidRPr="00FF2ED7">
        <w:rPr>
          <w:rFonts w:ascii="Georgia" w:hAnsi="Georgia" w:cstheme="minorHAnsi"/>
          <w:sz w:val="24"/>
          <w:szCs w:val="24"/>
        </w:rPr>
        <w:t>CODELCO</w:t>
      </w:r>
      <w:r>
        <w:rPr>
          <w:rFonts w:ascii="Georgia" w:hAnsi="Georgia" w:cstheme="minorHAnsi"/>
          <w:sz w:val="24"/>
          <w:szCs w:val="24"/>
        </w:rPr>
        <w:t xml:space="preserve"> tiene la posibilidad de participar en </w:t>
      </w:r>
      <w:r w:rsidRPr="00FF2ED7">
        <w:rPr>
          <w:rFonts w:ascii="Georgia" w:hAnsi="Georgia" w:cstheme="minorHAnsi"/>
          <w:sz w:val="24"/>
          <w:szCs w:val="24"/>
        </w:rPr>
        <w:t xml:space="preserve">la cadena de valor </w:t>
      </w:r>
      <w:r>
        <w:rPr>
          <w:rFonts w:ascii="Georgia" w:hAnsi="Georgia" w:cstheme="minorHAnsi"/>
          <w:sz w:val="24"/>
          <w:szCs w:val="24"/>
        </w:rPr>
        <w:t xml:space="preserve">del mineral agregando complejidad a su </w:t>
      </w:r>
      <w:r w:rsidRPr="00FF2ED7">
        <w:rPr>
          <w:rFonts w:ascii="Georgia" w:hAnsi="Georgia" w:cstheme="minorHAnsi"/>
          <w:sz w:val="24"/>
          <w:szCs w:val="24"/>
        </w:rPr>
        <w:t xml:space="preserve">producción </w:t>
      </w:r>
      <w:r>
        <w:rPr>
          <w:rFonts w:ascii="Georgia" w:hAnsi="Georgia" w:cstheme="minorHAnsi"/>
          <w:sz w:val="24"/>
          <w:szCs w:val="24"/>
        </w:rPr>
        <w:t xml:space="preserve">en segmentos tales como la fundición y refinación en Chile, la inteligencia artificial, la robótica y en general la tecnología, agregándose a ella en </w:t>
      </w:r>
      <w:r w:rsidRPr="005E3A0E">
        <w:rPr>
          <w:rFonts w:ascii="Georgia" w:hAnsi="Georgia" w:cstheme="minorHAnsi"/>
          <w:i/>
          <w:sz w:val="24"/>
          <w:szCs w:val="24"/>
        </w:rPr>
        <w:t>joint-ventures</w:t>
      </w:r>
      <w:r>
        <w:rPr>
          <w:rFonts w:ascii="Georgia" w:hAnsi="Georgia" w:cstheme="minorHAnsi"/>
          <w:sz w:val="24"/>
          <w:szCs w:val="24"/>
        </w:rPr>
        <w:t xml:space="preserve"> con los partícipes en investigación, ingeniería, transporte, seguros, finanzas. N</w:t>
      </w:r>
      <w:r w:rsidRPr="00FF2ED7">
        <w:rPr>
          <w:rFonts w:ascii="Georgia" w:hAnsi="Georgia" w:cstheme="minorHAnsi"/>
          <w:sz w:val="24"/>
          <w:szCs w:val="24"/>
        </w:rPr>
        <w:t xml:space="preserve">o obstante, </w:t>
      </w:r>
      <w:r>
        <w:rPr>
          <w:rFonts w:ascii="Georgia" w:hAnsi="Georgia" w:cstheme="minorHAnsi"/>
          <w:sz w:val="24"/>
          <w:szCs w:val="24"/>
        </w:rPr>
        <w:t xml:space="preserve">debemos reconocer que </w:t>
      </w:r>
      <w:r w:rsidRPr="00FF2ED7">
        <w:rPr>
          <w:rFonts w:ascii="Georgia" w:hAnsi="Georgia" w:cstheme="minorHAnsi"/>
          <w:sz w:val="24"/>
          <w:szCs w:val="24"/>
        </w:rPr>
        <w:t>desde el gobierno Aylwin</w:t>
      </w:r>
      <w:r w:rsidR="00816543">
        <w:rPr>
          <w:rFonts w:ascii="Georgia" w:hAnsi="Georgia" w:cstheme="minorHAnsi"/>
          <w:sz w:val="24"/>
          <w:szCs w:val="24"/>
        </w:rPr>
        <w:t>, Codelco</w:t>
      </w:r>
      <w:r w:rsidRPr="00FF2ED7">
        <w:rPr>
          <w:rFonts w:ascii="Georgia" w:hAnsi="Georgia" w:cstheme="minorHAnsi"/>
          <w:sz w:val="24"/>
          <w:szCs w:val="24"/>
        </w:rPr>
        <w:t xml:space="preserve"> fue paulatinamente transformándose en un eslabón en la cadena de producción de</w:t>
      </w:r>
      <w:r>
        <w:rPr>
          <w:rFonts w:ascii="Georgia" w:hAnsi="Georgia" w:cstheme="minorHAnsi"/>
          <w:sz w:val="24"/>
          <w:szCs w:val="24"/>
        </w:rPr>
        <w:t xml:space="preserve"> </w:t>
      </w:r>
      <w:r w:rsidRPr="00FF2ED7">
        <w:rPr>
          <w:rFonts w:ascii="Georgia" w:hAnsi="Georgia" w:cstheme="minorHAnsi"/>
          <w:sz w:val="24"/>
          <w:szCs w:val="24"/>
        </w:rPr>
        <w:t>l</w:t>
      </w:r>
      <w:r>
        <w:rPr>
          <w:rFonts w:ascii="Georgia" w:hAnsi="Georgia" w:cstheme="minorHAnsi"/>
          <w:sz w:val="24"/>
          <w:szCs w:val="24"/>
        </w:rPr>
        <w:t>as</w:t>
      </w:r>
      <w:r w:rsidRPr="00FF2ED7">
        <w:rPr>
          <w:rFonts w:ascii="Georgia" w:hAnsi="Georgia" w:cstheme="minorHAnsi"/>
          <w:sz w:val="24"/>
          <w:szCs w:val="24"/>
        </w:rPr>
        <w:t xml:space="preserve"> </w:t>
      </w:r>
      <w:r>
        <w:rPr>
          <w:rFonts w:ascii="Georgia" w:hAnsi="Georgia" w:cstheme="minorHAnsi"/>
          <w:sz w:val="24"/>
          <w:szCs w:val="24"/>
        </w:rPr>
        <w:t xml:space="preserve">transnacionales que </w:t>
      </w:r>
      <w:r w:rsidRPr="00FF2ED7">
        <w:rPr>
          <w:rFonts w:ascii="Georgia" w:hAnsi="Georgia" w:cstheme="minorHAnsi"/>
          <w:sz w:val="24"/>
          <w:szCs w:val="24"/>
        </w:rPr>
        <w:t>opera</w:t>
      </w:r>
      <w:r>
        <w:rPr>
          <w:rFonts w:ascii="Georgia" w:hAnsi="Georgia" w:cstheme="minorHAnsi"/>
          <w:sz w:val="24"/>
          <w:szCs w:val="24"/>
        </w:rPr>
        <w:t>n</w:t>
      </w:r>
      <w:r w:rsidRPr="00FF2ED7">
        <w:rPr>
          <w:rFonts w:ascii="Georgia" w:hAnsi="Georgia" w:cstheme="minorHAnsi"/>
          <w:sz w:val="24"/>
          <w:szCs w:val="24"/>
        </w:rPr>
        <w:t xml:space="preserve"> en Chile a través del Consejo Minero.</w:t>
      </w:r>
      <w:r>
        <w:rPr>
          <w:rFonts w:ascii="Georgia" w:hAnsi="Georgia" w:cstheme="minorHAnsi"/>
          <w:sz w:val="24"/>
          <w:szCs w:val="24"/>
        </w:rPr>
        <w:t xml:space="preserve"> </w:t>
      </w:r>
      <w:r w:rsidR="00816543">
        <w:rPr>
          <w:rFonts w:ascii="Georgia" w:hAnsi="Georgia" w:cstheme="minorHAnsi"/>
          <w:sz w:val="24"/>
          <w:szCs w:val="24"/>
        </w:rPr>
        <w:t xml:space="preserve">De hecho, Codelco forma parte del Consejo Minero. </w:t>
      </w:r>
      <w:r>
        <w:rPr>
          <w:rFonts w:ascii="Georgia" w:hAnsi="Georgia" w:cstheme="minorHAnsi"/>
          <w:sz w:val="24"/>
          <w:szCs w:val="24"/>
        </w:rPr>
        <w:t>Como ya lo hemos dicho, es el momento de retomar la inspiración inicial que animó la fundación de Codelco.</w:t>
      </w:r>
    </w:p>
    <w:p w:rsidR="006857A0" w:rsidRPr="00593710" w:rsidRDefault="006857A0" w:rsidP="006857A0">
      <w:pPr>
        <w:shd w:val="clear" w:color="auto" w:fill="FFFFFF"/>
        <w:spacing w:after="0" w:line="240" w:lineRule="auto"/>
        <w:jc w:val="both"/>
        <w:rPr>
          <w:rFonts w:ascii="Georgia" w:eastAsia="Times New Roman" w:hAnsi="Georgia" w:cs="Segoe UI"/>
          <w:sz w:val="24"/>
          <w:szCs w:val="24"/>
          <w:lang w:eastAsia="es-MX"/>
        </w:rPr>
      </w:pPr>
    </w:p>
    <w:p w:rsidR="006857A0" w:rsidRPr="00593710" w:rsidRDefault="006857A0" w:rsidP="006857A0">
      <w:pPr>
        <w:shd w:val="clear" w:color="auto" w:fill="FFFFFF"/>
        <w:spacing w:after="0" w:line="240" w:lineRule="auto"/>
        <w:jc w:val="both"/>
        <w:rPr>
          <w:rFonts w:ascii="Georgia" w:eastAsia="Times New Roman" w:hAnsi="Georgia" w:cs="Segoe UI"/>
          <w:b/>
          <w:sz w:val="24"/>
          <w:szCs w:val="24"/>
          <w:lang w:val="es-MX" w:eastAsia="es-MX"/>
        </w:rPr>
      </w:pPr>
      <w:r w:rsidRPr="00593710">
        <w:rPr>
          <w:rFonts w:ascii="Georgia" w:eastAsia="Times New Roman" w:hAnsi="Georgia" w:cs="Segoe UI"/>
          <w:b/>
          <w:sz w:val="28"/>
          <w:szCs w:val="28"/>
          <w:lang w:val="es-MX" w:eastAsia="es-MX"/>
        </w:rPr>
        <w:t>10</w:t>
      </w:r>
      <w:r w:rsidRPr="00593710">
        <w:rPr>
          <w:rFonts w:ascii="Georgia" w:eastAsia="Times New Roman" w:hAnsi="Georgia" w:cs="Segoe UI"/>
          <w:b/>
          <w:sz w:val="24"/>
          <w:szCs w:val="24"/>
          <w:lang w:val="es-MX" w:eastAsia="es-MX"/>
        </w:rPr>
        <w:t xml:space="preserve"> </w:t>
      </w:r>
      <w:r w:rsidR="00001458">
        <w:rPr>
          <w:rFonts w:ascii="Georgia" w:eastAsia="Times New Roman" w:hAnsi="Georgia" w:cs="Segoe UI"/>
          <w:b/>
          <w:sz w:val="24"/>
          <w:szCs w:val="24"/>
          <w:lang w:val="es-MX" w:eastAsia="es-MX"/>
        </w:rPr>
        <w:t xml:space="preserve"> </w:t>
      </w:r>
      <w:r w:rsidRPr="00593710">
        <w:rPr>
          <w:rFonts w:ascii="Georgia" w:eastAsia="Times New Roman" w:hAnsi="Georgia" w:cs="Segoe UI"/>
          <w:b/>
          <w:sz w:val="24"/>
          <w:szCs w:val="24"/>
          <w:lang w:val="es-MX" w:eastAsia="es-MX"/>
        </w:rPr>
        <w:t>Conclusiones</w:t>
      </w:r>
    </w:p>
    <w:p w:rsidR="006857A0" w:rsidRDefault="006857A0" w:rsidP="006857A0">
      <w:pPr>
        <w:shd w:val="clear" w:color="auto" w:fill="FFFFFF"/>
        <w:spacing w:after="0" w:line="240" w:lineRule="auto"/>
        <w:jc w:val="both"/>
        <w:rPr>
          <w:rFonts w:ascii="Georgia" w:eastAsia="Times New Roman" w:hAnsi="Georgia" w:cs="Segoe UI"/>
          <w:sz w:val="24"/>
          <w:szCs w:val="24"/>
          <w:lang w:val="es-MX" w:eastAsia="es-MX"/>
        </w:rPr>
      </w:pPr>
    </w:p>
    <w:p w:rsidR="006857A0" w:rsidRDefault="006857A0" w:rsidP="006857A0">
      <w:pPr>
        <w:shd w:val="clear" w:color="auto" w:fill="FFFFFF"/>
        <w:spacing w:after="0" w:line="240" w:lineRule="auto"/>
        <w:jc w:val="both"/>
        <w:rPr>
          <w:rFonts w:ascii="Georgia" w:eastAsia="Times New Roman" w:hAnsi="Georgia" w:cs="Segoe UI"/>
          <w:sz w:val="24"/>
          <w:szCs w:val="24"/>
          <w:lang w:val="es-MX" w:eastAsia="es-MX"/>
        </w:rPr>
      </w:pPr>
    </w:p>
    <w:p w:rsidR="006857A0" w:rsidRDefault="006857A0" w:rsidP="006857A0">
      <w:pPr>
        <w:shd w:val="clear" w:color="auto" w:fill="FFFFFF"/>
        <w:spacing w:after="0" w:line="240" w:lineRule="auto"/>
        <w:jc w:val="both"/>
        <w:rPr>
          <w:rFonts w:ascii="Georgia" w:hAnsi="Georgia" w:cstheme="minorHAnsi"/>
          <w:sz w:val="24"/>
          <w:szCs w:val="24"/>
        </w:rPr>
      </w:pPr>
      <w:r w:rsidRPr="00D46B34">
        <w:rPr>
          <w:rFonts w:ascii="Georgia" w:eastAsia="Times New Roman" w:hAnsi="Georgia" w:cs="Segoe UI"/>
          <w:b/>
          <w:sz w:val="28"/>
          <w:szCs w:val="28"/>
          <w:lang w:val="es-MX" w:eastAsia="es-MX"/>
        </w:rPr>
        <w:t>1</w:t>
      </w:r>
      <w:r>
        <w:rPr>
          <w:rFonts w:ascii="Georgia" w:eastAsia="Times New Roman" w:hAnsi="Georgia" w:cs="Segoe UI"/>
          <w:sz w:val="24"/>
          <w:szCs w:val="24"/>
          <w:lang w:val="es-MX" w:eastAsia="es-MX"/>
        </w:rPr>
        <w:t xml:space="preserve">  El </w:t>
      </w:r>
      <w:r>
        <w:rPr>
          <w:rFonts w:ascii="Georgia" w:hAnsi="Georgia" w:cstheme="minorHAnsi"/>
          <w:sz w:val="24"/>
          <w:szCs w:val="24"/>
        </w:rPr>
        <w:t xml:space="preserve">legado del presidente Allende se encuentra en la Constitución de 1980 que dice que “el Estado tiene el dominio absoluto, exclusivo, inalienable e imprescriptible de las minas”. Se respetó así la voluntad unánime del Congreso de la República que en 1971 votó por la nacionalización del cobre. Sin embargo, durante la dictadura se dictó la </w:t>
      </w:r>
      <w:r w:rsidRPr="00FF2ED7">
        <w:rPr>
          <w:rFonts w:ascii="Georgia" w:hAnsi="Georgia" w:cstheme="minorHAnsi"/>
          <w:sz w:val="24"/>
          <w:szCs w:val="24"/>
        </w:rPr>
        <w:t>Ley Orgánica Constituciona</w:t>
      </w:r>
      <w:r>
        <w:rPr>
          <w:rFonts w:ascii="Georgia" w:hAnsi="Georgia" w:cstheme="minorHAnsi"/>
          <w:sz w:val="24"/>
          <w:szCs w:val="24"/>
        </w:rPr>
        <w:t>l de Concesiones Mineras (LOCCM, enero de 19</w:t>
      </w:r>
      <w:r w:rsidRPr="00FF2ED7">
        <w:rPr>
          <w:rFonts w:ascii="Georgia" w:hAnsi="Georgia" w:cstheme="minorHAnsi"/>
          <w:sz w:val="24"/>
          <w:szCs w:val="24"/>
        </w:rPr>
        <w:t>82)</w:t>
      </w:r>
      <w:r>
        <w:rPr>
          <w:rFonts w:ascii="Georgia" w:hAnsi="Georgia" w:cstheme="minorHAnsi"/>
          <w:sz w:val="24"/>
          <w:szCs w:val="24"/>
        </w:rPr>
        <w:t xml:space="preserve"> que, siendo una ley de menor entidad que la Constitución, neutralizó la voluntad expresada en el texto constitucional de 1971. Esta ley, absolutamente inconstitucional, hasta el día de hoy sigue vigente, por tanto debe ser derogada en la Convención Constitucional.</w:t>
      </w:r>
    </w:p>
    <w:p w:rsidR="006857A0" w:rsidRDefault="006857A0" w:rsidP="006857A0">
      <w:pPr>
        <w:shd w:val="clear" w:color="auto" w:fill="FFFFFF"/>
        <w:spacing w:after="0" w:line="240" w:lineRule="auto"/>
        <w:jc w:val="both"/>
        <w:rPr>
          <w:rFonts w:ascii="Georgia" w:eastAsia="Times New Roman" w:hAnsi="Georgia" w:cs="Segoe UI"/>
          <w:sz w:val="24"/>
          <w:szCs w:val="24"/>
          <w:lang w:eastAsia="es-MX"/>
        </w:rPr>
      </w:pPr>
    </w:p>
    <w:p w:rsidR="006857A0" w:rsidRDefault="006857A0" w:rsidP="006857A0">
      <w:pPr>
        <w:spacing w:after="0" w:line="240" w:lineRule="auto"/>
        <w:jc w:val="both"/>
        <w:rPr>
          <w:rFonts w:ascii="Georgia" w:hAnsi="Georgia" w:cstheme="minorHAnsi"/>
          <w:sz w:val="24"/>
          <w:szCs w:val="24"/>
        </w:rPr>
      </w:pPr>
      <w:r w:rsidRPr="00D46B34">
        <w:rPr>
          <w:rFonts w:ascii="Georgia" w:hAnsi="Georgia" w:cstheme="minorHAnsi"/>
          <w:b/>
          <w:sz w:val="28"/>
          <w:szCs w:val="28"/>
        </w:rPr>
        <w:t xml:space="preserve">2 </w:t>
      </w:r>
      <w:r>
        <w:rPr>
          <w:rFonts w:ascii="Georgia" w:hAnsi="Georgia" w:cstheme="minorHAnsi"/>
          <w:sz w:val="24"/>
          <w:szCs w:val="24"/>
        </w:rPr>
        <w:t xml:space="preserve"> La subfacturación, o no pago de los subproductos del concentrado del cobre, práctica no controlada por las autoridades de Impuestos Internos y Aduanas debe terminar. Estas instituciones deben ser intervenidas para restablecer así la Soberanía del Estado de Chile sobre los recursos naturales de su territorio.</w:t>
      </w:r>
      <w:r w:rsidR="00261482">
        <w:rPr>
          <w:rFonts w:ascii="Georgia" w:hAnsi="Georgia" w:cstheme="minorHAnsi"/>
          <w:sz w:val="24"/>
          <w:szCs w:val="24"/>
        </w:rPr>
        <w:t xml:space="preserve"> </w:t>
      </w:r>
    </w:p>
    <w:p w:rsidR="006857A0" w:rsidRDefault="006857A0" w:rsidP="006857A0">
      <w:pPr>
        <w:spacing w:after="0" w:line="240" w:lineRule="auto"/>
        <w:jc w:val="both"/>
        <w:rPr>
          <w:rFonts w:ascii="Georgia" w:hAnsi="Georgia" w:cstheme="minorHAnsi"/>
          <w:sz w:val="24"/>
          <w:szCs w:val="24"/>
        </w:rPr>
      </w:pPr>
    </w:p>
    <w:p w:rsidR="006857A0" w:rsidRDefault="006857A0" w:rsidP="006857A0">
      <w:pPr>
        <w:spacing w:after="0" w:line="240" w:lineRule="auto"/>
        <w:jc w:val="both"/>
        <w:rPr>
          <w:rFonts w:ascii="Georgia" w:hAnsi="Georgia" w:cstheme="minorHAnsi"/>
          <w:sz w:val="24"/>
          <w:szCs w:val="24"/>
        </w:rPr>
      </w:pPr>
      <w:r w:rsidRPr="00D46B34">
        <w:rPr>
          <w:rFonts w:ascii="Georgia" w:hAnsi="Georgia" w:cstheme="minorHAnsi"/>
          <w:b/>
          <w:sz w:val="28"/>
          <w:szCs w:val="28"/>
        </w:rPr>
        <w:t>3</w:t>
      </w:r>
      <w:r>
        <w:rPr>
          <w:rFonts w:ascii="Georgia" w:hAnsi="Georgia" w:cstheme="minorHAnsi"/>
          <w:sz w:val="24"/>
          <w:szCs w:val="24"/>
        </w:rPr>
        <w:t xml:space="preserve"> </w:t>
      </w:r>
      <w:r w:rsidRPr="00FF2ED7">
        <w:rPr>
          <w:rFonts w:ascii="Georgia" w:hAnsi="Georgia" w:cstheme="minorHAnsi"/>
          <w:sz w:val="24"/>
          <w:szCs w:val="24"/>
        </w:rPr>
        <w:t>CODELCO</w:t>
      </w:r>
      <w:r>
        <w:rPr>
          <w:rFonts w:ascii="Georgia" w:hAnsi="Georgia" w:cstheme="minorHAnsi"/>
          <w:sz w:val="24"/>
          <w:szCs w:val="24"/>
        </w:rPr>
        <w:t xml:space="preserve"> junto a empresas mineras estatales de Argentina, Bolivia y Perú debe revertir una política entreguista y formar un complejo estatal minero del Cono Sur capaz de participar en la cadena de valor de la industria a nivel internacional, fundiendo, refinando y manufacturando en uno de los territorios de mayor riqueza minera del mundo, en fin, imponer una política de precios acorde con los intereses nacionales. </w:t>
      </w:r>
    </w:p>
    <w:p w:rsidR="006857A0" w:rsidRPr="00D46B34" w:rsidRDefault="006857A0" w:rsidP="006857A0">
      <w:pPr>
        <w:shd w:val="clear" w:color="auto" w:fill="FFFFFF"/>
        <w:spacing w:after="0" w:line="240" w:lineRule="auto"/>
        <w:jc w:val="both"/>
        <w:rPr>
          <w:rFonts w:ascii="Georgia" w:eastAsia="Times New Roman" w:hAnsi="Georgia" w:cs="Segoe UI"/>
          <w:b/>
          <w:sz w:val="28"/>
          <w:szCs w:val="28"/>
          <w:lang w:eastAsia="es-MX"/>
        </w:rPr>
      </w:pPr>
    </w:p>
    <w:p w:rsidR="006857A0" w:rsidRPr="00FF2ED7" w:rsidRDefault="006857A0" w:rsidP="006857A0">
      <w:pPr>
        <w:spacing w:after="0" w:line="240" w:lineRule="auto"/>
        <w:jc w:val="both"/>
        <w:rPr>
          <w:rFonts w:ascii="Georgia" w:hAnsi="Georgia" w:cstheme="minorHAnsi"/>
          <w:sz w:val="24"/>
          <w:szCs w:val="24"/>
        </w:rPr>
      </w:pPr>
      <w:r w:rsidRPr="00D46B34">
        <w:rPr>
          <w:rFonts w:ascii="Georgia" w:hAnsi="Georgia" w:cstheme="minorHAnsi"/>
          <w:b/>
          <w:sz w:val="28"/>
          <w:szCs w:val="28"/>
        </w:rPr>
        <w:t>4</w:t>
      </w:r>
      <w:r>
        <w:rPr>
          <w:rFonts w:ascii="Georgia" w:hAnsi="Georgia" w:cstheme="minorHAnsi"/>
          <w:sz w:val="24"/>
          <w:szCs w:val="24"/>
        </w:rPr>
        <w:t xml:space="preserve">  Esta política solo podrá realizarse mediante la recuperación del subsuelo minero mediante la nacionalización de las empresas transnacionales y con ello restablecer nuestra y una política de concesiones capaz de restablecer la soberanía sobre una de las principales riquezas materiales de Chile. Conjuntamente con ello, al igual que el litio, el cobre deberá ser declarado mineral no concesible. Esto significará en el futuro que </w:t>
      </w:r>
      <w:r w:rsidRPr="00D32D4D">
        <w:rPr>
          <w:rFonts w:ascii="Georgia" w:hAnsi="Georgia"/>
          <w:color w:val="000000"/>
          <w:sz w:val="24"/>
          <w:szCs w:val="24"/>
        </w:rPr>
        <w:t>cualquiera concesión tendrá que ser objeto de un contrato de operaciones especiales</w:t>
      </w:r>
      <w:r>
        <w:rPr>
          <w:rFonts w:ascii="Georgia" w:hAnsi="Georgia"/>
          <w:color w:val="000000"/>
        </w:rPr>
        <w:t xml:space="preserve"> (CEO). </w:t>
      </w:r>
      <w:r w:rsidRPr="00D32D4D">
        <w:rPr>
          <w:rFonts w:ascii="Georgia" w:hAnsi="Georgia"/>
          <w:color w:val="000000"/>
          <w:sz w:val="24"/>
          <w:szCs w:val="24"/>
        </w:rPr>
        <w:t>Las nu</w:t>
      </w:r>
      <w:r>
        <w:rPr>
          <w:rFonts w:ascii="Georgia" w:hAnsi="Georgia"/>
          <w:color w:val="000000"/>
          <w:sz w:val="24"/>
          <w:szCs w:val="24"/>
        </w:rPr>
        <w:t>evas regulaciones se traducirán en concesiones a título definido, de la misma manera, junto con recuperar las bases del comercio internacional del mineral, e</w:t>
      </w:r>
      <w:r w:rsidRPr="00D32D4D">
        <w:rPr>
          <w:rFonts w:ascii="Georgia" w:hAnsi="Georgia" w:cstheme="minorHAnsi"/>
          <w:sz w:val="24"/>
          <w:szCs w:val="24"/>
        </w:rPr>
        <w:t>llo</w:t>
      </w:r>
      <w:r>
        <w:rPr>
          <w:rFonts w:ascii="Georgia" w:hAnsi="Georgia" w:cstheme="minorHAnsi"/>
          <w:sz w:val="24"/>
          <w:szCs w:val="24"/>
        </w:rPr>
        <w:t xml:space="preserve"> nos permitirá realizar una política medioambiental siguiendo las normas vigentes en la producción minera de los países industrializados. </w:t>
      </w:r>
    </w:p>
    <w:p w:rsidR="006857A0" w:rsidRDefault="006857A0" w:rsidP="006857A0">
      <w:pPr>
        <w:spacing w:after="0" w:line="240" w:lineRule="auto"/>
        <w:jc w:val="both"/>
        <w:rPr>
          <w:rFonts w:ascii="Georgia" w:hAnsi="Georgia" w:cstheme="minorHAnsi"/>
          <w:sz w:val="24"/>
          <w:szCs w:val="24"/>
        </w:rPr>
      </w:pPr>
    </w:p>
    <w:p w:rsidR="006857A0" w:rsidRPr="00587B92" w:rsidRDefault="006857A0" w:rsidP="006857A0">
      <w:pPr>
        <w:spacing w:line="240" w:lineRule="auto"/>
        <w:jc w:val="both"/>
        <w:rPr>
          <w:rFonts w:ascii="Georgia" w:hAnsi="Georgia" w:cs="Arial"/>
          <w:sz w:val="24"/>
          <w:szCs w:val="24"/>
          <w:shd w:val="clear" w:color="auto" w:fill="FFFFFF"/>
          <w:lang w:val="es-MX"/>
        </w:rPr>
      </w:pPr>
      <w:r w:rsidRPr="00D46B34">
        <w:rPr>
          <w:rFonts w:ascii="Georgia" w:hAnsi="Georgia" w:cstheme="minorHAnsi"/>
          <w:b/>
          <w:sz w:val="28"/>
          <w:szCs w:val="28"/>
        </w:rPr>
        <w:t>5</w:t>
      </w:r>
      <w:r>
        <w:rPr>
          <w:rFonts w:ascii="Georgia" w:hAnsi="Georgia" w:cstheme="minorHAnsi"/>
          <w:sz w:val="24"/>
          <w:szCs w:val="24"/>
        </w:rPr>
        <w:t xml:space="preserve">  La indemnización por la n</w:t>
      </w:r>
      <w:r w:rsidRPr="00FF2ED7">
        <w:rPr>
          <w:rFonts w:ascii="Georgia" w:hAnsi="Georgia" w:cstheme="minorHAnsi"/>
          <w:sz w:val="24"/>
          <w:szCs w:val="24"/>
        </w:rPr>
        <w:t>acionalización</w:t>
      </w:r>
      <w:r>
        <w:rPr>
          <w:rFonts w:ascii="Georgia" w:hAnsi="Georgia" w:cstheme="minorHAnsi"/>
          <w:sz w:val="24"/>
          <w:szCs w:val="24"/>
        </w:rPr>
        <w:t>, (al igual que en la Disposición Transitoria n° 17 de la Constitución de 1925, refrendada en la Disposición Transitoria n° 3 de la Constitución de 1980)</w:t>
      </w:r>
      <w:r w:rsidRPr="00FF2ED7">
        <w:rPr>
          <w:rFonts w:ascii="Georgia" w:hAnsi="Georgia" w:cstheme="minorHAnsi"/>
          <w:sz w:val="24"/>
          <w:szCs w:val="24"/>
        </w:rPr>
        <w:t xml:space="preserve"> </w:t>
      </w:r>
      <w:r>
        <w:rPr>
          <w:rFonts w:ascii="Georgia" w:hAnsi="Georgia" w:cstheme="minorHAnsi"/>
          <w:sz w:val="24"/>
          <w:szCs w:val="24"/>
        </w:rPr>
        <w:t xml:space="preserve">seguirá la regla del valor libro </w:t>
      </w:r>
      <w:r w:rsidRPr="00587B92">
        <w:rPr>
          <w:rFonts w:ascii="Georgia" w:hAnsi="Georgia" w:cs="Arial"/>
          <w:sz w:val="24"/>
          <w:szCs w:val="24"/>
          <w:shd w:val="clear" w:color="auto" w:fill="FFFFFF"/>
          <w:lang w:val="es-MX"/>
        </w:rPr>
        <w:t>“el monto de la indemnización o indemnizaciones, según los casos podrá determinarse sobre la base del costo original de dichos bienes, deducidas las amortizaciones, depreciaciones, castigos y desvalorización por obsolescencia. También podrá deducirse del monto de la indemnización el todo o parte de las rentabilidades excesivas que hubieren obtenido las empresas nacionalizadas. La indemnización será pagada en dinero, a menos que el afectado acepte otra clase de pago, en un plazo no superior a treinta años y en la condiciones que la ley determine”.</w:t>
      </w:r>
    </w:p>
    <w:p w:rsidR="006857A0" w:rsidRPr="00FF2ED7" w:rsidRDefault="006857A0" w:rsidP="006857A0">
      <w:pPr>
        <w:spacing w:after="0" w:line="240" w:lineRule="auto"/>
        <w:jc w:val="both"/>
        <w:rPr>
          <w:rFonts w:ascii="Georgia" w:hAnsi="Georgia" w:cstheme="minorHAnsi"/>
          <w:sz w:val="24"/>
          <w:szCs w:val="24"/>
        </w:rPr>
      </w:pPr>
      <w:r>
        <w:rPr>
          <w:rFonts w:ascii="Georgia" w:hAnsi="Georgia"/>
          <w:sz w:val="24"/>
          <w:szCs w:val="24"/>
          <w:lang w:val="es-CL"/>
        </w:rPr>
        <w:t xml:space="preserve">Esta disposición se basa en el valor libro – noción utilizada en la época de la nacionalización de 1971 – y que se encuentra, además, definida en la llamada IFRS </w:t>
      </w:r>
      <w:r w:rsidRPr="00B84460">
        <w:rPr>
          <w:rFonts w:ascii="Georgia" w:hAnsi="Georgia"/>
          <w:sz w:val="24"/>
          <w:szCs w:val="24"/>
          <w:lang w:val="es-CL"/>
        </w:rPr>
        <w:t>(</w:t>
      </w:r>
      <w:r w:rsidRPr="00007367">
        <w:rPr>
          <w:rFonts w:ascii="Georgia" w:hAnsi="Georgia" w:cs="Arial"/>
          <w:i/>
          <w:color w:val="202124"/>
          <w:sz w:val="24"/>
          <w:szCs w:val="24"/>
          <w:shd w:val="clear" w:color="auto" w:fill="FFFFFF"/>
          <w:lang w:val="es-MX"/>
        </w:rPr>
        <w:t>International Reporting Financial Standard, 2009</w:t>
      </w:r>
      <w:r w:rsidRPr="00B84460">
        <w:rPr>
          <w:rFonts w:ascii="Georgia" w:hAnsi="Georgia" w:cs="Arial"/>
          <w:color w:val="202124"/>
          <w:sz w:val="24"/>
          <w:szCs w:val="24"/>
          <w:shd w:val="clear" w:color="auto" w:fill="FFFFFF"/>
          <w:lang w:val="es-MX"/>
        </w:rPr>
        <w:t xml:space="preserve">) </w:t>
      </w:r>
      <w:r>
        <w:rPr>
          <w:rFonts w:ascii="Georgia" w:hAnsi="Georgia"/>
          <w:sz w:val="24"/>
          <w:szCs w:val="24"/>
          <w:lang w:val="es-CL"/>
        </w:rPr>
        <w:t xml:space="preserve">actualmente en vigencia y que unifica el </w:t>
      </w:r>
      <w:r w:rsidRPr="00EE2309">
        <w:rPr>
          <w:rFonts w:ascii="Georgia" w:hAnsi="Georgia"/>
          <w:sz w:val="24"/>
          <w:szCs w:val="24"/>
          <w:lang w:val="es-CL"/>
        </w:rPr>
        <w:t>tratamiento y la información financiera mundial.</w:t>
      </w:r>
      <w:r>
        <w:rPr>
          <w:rFonts w:ascii="Georgia" w:hAnsi="Georgia"/>
          <w:sz w:val="24"/>
          <w:szCs w:val="24"/>
          <w:lang w:val="es-CL"/>
        </w:rPr>
        <w:t xml:space="preserve"> Su importancia es que el procedimiento en el caso de la nacionalización será </w:t>
      </w:r>
      <w:r w:rsidRPr="00C61D91">
        <w:rPr>
          <w:rFonts w:ascii="Georgia" w:hAnsi="Georgia" w:cs="Arial"/>
          <w:color w:val="202124"/>
          <w:sz w:val="24"/>
          <w:szCs w:val="24"/>
          <w:shd w:val="clear" w:color="auto" w:fill="FFFFFF"/>
          <w:lang w:val="es-MX"/>
        </w:rPr>
        <w:t>reconocido en forma estandarizada en cualquier país.</w:t>
      </w:r>
    </w:p>
    <w:p w:rsidR="006857A0" w:rsidRDefault="006857A0" w:rsidP="006857A0">
      <w:pPr>
        <w:spacing w:after="0" w:line="240" w:lineRule="auto"/>
        <w:jc w:val="both"/>
        <w:rPr>
          <w:rFonts w:ascii="Georgia" w:hAnsi="Georgia" w:cstheme="minorHAnsi"/>
          <w:sz w:val="24"/>
          <w:szCs w:val="24"/>
        </w:rPr>
      </w:pPr>
    </w:p>
    <w:p w:rsidR="006857A0" w:rsidRPr="00FF2ED7" w:rsidRDefault="006857A0" w:rsidP="006857A0">
      <w:pPr>
        <w:spacing w:after="0" w:line="240" w:lineRule="auto"/>
        <w:jc w:val="both"/>
        <w:rPr>
          <w:rFonts w:ascii="Georgia" w:hAnsi="Georgia" w:cstheme="minorHAnsi"/>
          <w:sz w:val="24"/>
          <w:szCs w:val="24"/>
        </w:rPr>
      </w:pPr>
    </w:p>
    <w:p w:rsidR="006857A0" w:rsidRDefault="006857A0" w:rsidP="006857A0">
      <w:pPr>
        <w:spacing w:after="0" w:line="240" w:lineRule="auto"/>
        <w:jc w:val="both"/>
        <w:rPr>
          <w:rFonts w:ascii="Georgia" w:hAnsi="Georgia" w:cstheme="minorHAnsi"/>
          <w:sz w:val="24"/>
          <w:szCs w:val="24"/>
        </w:rPr>
      </w:pPr>
      <w:r w:rsidRPr="00001458">
        <w:rPr>
          <w:rFonts w:ascii="Georgia" w:hAnsi="Georgia" w:cstheme="minorHAnsi"/>
          <w:b/>
          <w:sz w:val="28"/>
          <w:szCs w:val="28"/>
        </w:rPr>
        <w:t>6</w:t>
      </w:r>
      <w:r>
        <w:rPr>
          <w:rFonts w:ascii="Georgia" w:hAnsi="Georgia" w:cstheme="minorHAnsi"/>
          <w:sz w:val="24"/>
          <w:szCs w:val="24"/>
        </w:rPr>
        <w:t xml:space="preserve">  El 11 de abril  se declaró en la Convención Constitucional que Chile es un Estado Social y Democrático de Derecho, lo que significa, entre otras situaciones de importancia innegable, que los Bienes Públicos tales como la Educación, la Vivienda, la Salud, salarios, remuneraciones y jubilaciones dignas, uso del agua, entre otros, constituyen una prioridad fundamental del Estado de Chile. De ahora en adelante este conjunto de políticas públicas, deberá ser respetado y financiado en consecuencia.</w:t>
      </w:r>
    </w:p>
    <w:p w:rsidR="006857A0" w:rsidRDefault="006857A0" w:rsidP="006857A0">
      <w:pPr>
        <w:spacing w:after="0" w:line="240" w:lineRule="auto"/>
        <w:jc w:val="both"/>
        <w:rPr>
          <w:rFonts w:ascii="Georgia" w:hAnsi="Georgia" w:cstheme="minorHAnsi"/>
          <w:sz w:val="24"/>
          <w:szCs w:val="24"/>
        </w:rPr>
      </w:pPr>
    </w:p>
    <w:p w:rsidR="006857A0" w:rsidRDefault="006857A0" w:rsidP="006857A0">
      <w:pPr>
        <w:spacing w:after="0" w:line="240" w:lineRule="auto"/>
        <w:jc w:val="both"/>
        <w:rPr>
          <w:rFonts w:ascii="Georgia" w:hAnsi="Georgia" w:cstheme="minorHAnsi"/>
          <w:sz w:val="24"/>
          <w:szCs w:val="24"/>
        </w:rPr>
      </w:pPr>
    </w:p>
    <w:p w:rsidR="006857A0" w:rsidRPr="000250F2" w:rsidRDefault="006857A0" w:rsidP="006857A0">
      <w:pPr>
        <w:spacing w:after="0" w:line="240" w:lineRule="auto"/>
        <w:jc w:val="both"/>
        <w:rPr>
          <w:rFonts w:ascii="Georgia" w:hAnsi="Georgia" w:cstheme="minorHAnsi"/>
          <w:sz w:val="28"/>
          <w:szCs w:val="28"/>
        </w:rPr>
      </w:pPr>
      <w:r w:rsidRPr="000250F2">
        <w:rPr>
          <w:rFonts w:ascii="Georgia" w:hAnsi="Georgia" w:cstheme="minorHAnsi"/>
          <w:b/>
          <w:sz w:val="28"/>
          <w:szCs w:val="28"/>
        </w:rPr>
        <w:t>7</w:t>
      </w:r>
      <w:r w:rsidR="00001458">
        <w:rPr>
          <w:rFonts w:ascii="Georgia" w:hAnsi="Georgia" w:cstheme="minorHAnsi"/>
          <w:sz w:val="24"/>
          <w:szCs w:val="24"/>
        </w:rPr>
        <w:t xml:space="preserve">  </w:t>
      </w:r>
      <w:r w:rsidRPr="00AB26BE">
        <w:rPr>
          <w:rFonts w:ascii="Georgia" w:hAnsi="Georgia" w:cstheme="minorHAnsi"/>
          <w:b/>
          <w:sz w:val="24"/>
          <w:szCs w:val="24"/>
        </w:rPr>
        <w:t>¿Dónde están los recursos para financiar esas políticas? La respuesta es simple. Se encuentran en las riquezas naturales de nuestro territorio y de manera central  en el cobre. Por tanto, declaramos en el presente, ante Chile y el mundo nuestra voluntad de recuperar esta riqueza y que ello sea nuestro legado para las generaciones futuras.</w:t>
      </w:r>
    </w:p>
    <w:p w:rsidR="006857A0" w:rsidRDefault="006857A0" w:rsidP="006857A0">
      <w:pPr>
        <w:spacing w:after="0" w:line="240" w:lineRule="auto"/>
        <w:jc w:val="both"/>
        <w:rPr>
          <w:rFonts w:ascii="Georgia" w:hAnsi="Georgia" w:cstheme="minorHAnsi"/>
          <w:sz w:val="24"/>
          <w:szCs w:val="24"/>
        </w:rPr>
      </w:pPr>
    </w:p>
    <w:p w:rsidR="006857A0" w:rsidRDefault="006857A0" w:rsidP="006857A0">
      <w:pPr>
        <w:spacing w:after="0" w:line="240" w:lineRule="auto"/>
        <w:jc w:val="both"/>
        <w:rPr>
          <w:rFonts w:ascii="Georgia" w:hAnsi="Georgia" w:cstheme="minorHAnsi"/>
          <w:sz w:val="24"/>
          <w:szCs w:val="24"/>
        </w:rPr>
      </w:pPr>
    </w:p>
    <w:p w:rsidR="00585BC8" w:rsidRDefault="006857A0" w:rsidP="006857A0">
      <w:r w:rsidRPr="000250F2">
        <w:rPr>
          <w:rFonts w:ascii="Georgia" w:hAnsi="Georgia" w:cstheme="minorHAnsi"/>
          <w:i/>
          <w:sz w:val="24"/>
          <w:szCs w:val="24"/>
        </w:rPr>
        <w:t>Santiago, abril 2022</w:t>
      </w:r>
    </w:p>
    <w:sectPr w:rsidR="00585BC8" w:rsidSect="00794695">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595D" w:rsidRDefault="006B595D" w:rsidP="00493CD4">
      <w:pPr>
        <w:spacing w:after="0" w:line="240" w:lineRule="auto"/>
      </w:pPr>
      <w:r>
        <w:separator/>
      </w:r>
    </w:p>
  </w:endnote>
  <w:endnote w:type="continuationSeparator" w:id="0">
    <w:p w:rsidR="006B595D" w:rsidRDefault="006B595D" w:rsidP="0049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595D" w:rsidRDefault="006B595D" w:rsidP="00493CD4">
      <w:pPr>
        <w:spacing w:after="0" w:line="240" w:lineRule="auto"/>
      </w:pPr>
      <w:r>
        <w:separator/>
      </w:r>
    </w:p>
  </w:footnote>
  <w:footnote w:type="continuationSeparator" w:id="0">
    <w:p w:rsidR="006B595D" w:rsidRDefault="006B595D" w:rsidP="00493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717374"/>
      <w:docPartObj>
        <w:docPartGallery w:val="Page Numbers (Top of Page)"/>
        <w:docPartUnique/>
      </w:docPartObj>
    </w:sdtPr>
    <w:sdtEndPr/>
    <w:sdtContent>
      <w:p w:rsidR="00585BC8" w:rsidRDefault="006B595D">
        <w:pPr>
          <w:pStyle w:val="Encabezado"/>
          <w:jc w:val="center"/>
        </w:pPr>
        <w:r>
          <w:fldChar w:fldCharType="begin"/>
        </w:r>
        <w:r>
          <w:instrText xml:space="preserve"> PAGE   \* MERGEFORMAT </w:instrText>
        </w:r>
        <w:r>
          <w:fldChar w:fldCharType="separate"/>
        </w:r>
        <w:r w:rsidR="001555B6">
          <w:rPr>
            <w:noProof/>
          </w:rPr>
          <w:t>1</w:t>
        </w:r>
        <w:r>
          <w:rPr>
            <w:noProof/>
          </w:rPr>
          <w:fldChar w:fldCharType="end"/>
        </w:r>
      </w:p>
    </w:sdtContent>
  </w:sdt>
  <w:p w:rsidR="00585BC8" w:rsidRDefault="00585B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A0"/>
    <w:rsid w:val="00001458"/>
    <w:rsid w:val="000212A6"/>
    <w:rsid w:val="001555B6"/>
    <w:rsid w:val="00261482"/>
    <w:rsid w:val="002A1D4E"/>
    <w:rsid w:val="003B578D"/>
    <w:rsid w:val="00493CD4"/>
    <w:rsid w:val="004D55A5"/>
    <w:rsid w:val="005160C5"/>
    <w:rsid w:val="00562D13"/>
    <w:rsid w:val="00585BC8"/>
    <w:rsid w:val="006465BA"/>
    <w:rsid w:val="006857A0"/>
    <w:rsid w:val="006A56AA"/>
    <w:rsid w:val="006B595D"/>
    <w:rsid w:val="006B7381"/>
    <w:rsid w:val="006E7E12"/>
    <w:rsid w:val="00767210"/>
    <w:rsid w:val="00794695"/>
    <w:rsid w:val="007B1336"/>
    <w:rsid w:val="00816543"/>
    <w:rsid w:val="00855D87"/>
    <w:rsid w:val="00912898"/>
    <w:rsid w:val="00931F70"/>
    <w:rsid w:val="009A7B0A"/>
    <w:rsid w:val="009D2AB5"/>
    <w:rsid w:val="00AB26BE"/>
    <w:rsid w:val="00C2623E"/>
    <w:rsid w:val="00CE290F"/>
    <w:rsid w:val="00DB4E9B"/>
    <w:rsid w:val="00DC3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377EB-A800-47E9-8717-24E2F088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A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857A0"/>
    <w:rPr>
      <w:color w:val="0000FF"/>
      <w:u w:val="single"/>
    </w:rPr>
  </w:style>
  <w:style w:type="paragraph" w:styleId="NormalWeb">
    <w:name w:val="Normal (Web)"/>
    <w:basedOn w:val="Normal"/>
    <w:uiPriority w:val="99"/>
    <w:unhideWhenUsed/>
    <w:rsid w:val="006857A0"/>
    <w:pPr>
      <w:spacing w:before="100" w:beforeAutospacing="1" w:after="100" w:afterAutospacing="1" w:line="240" w:lineRule="auto"/>
    </w:pPr>
    <w:rPr>
      <w:rFonts w:ascii="Times New Roman" w:hAnsi="Times New Roman" w:cs="Times New Roman"/>
      <w:sz w:val="24"/>
      <w:szCs w:val="24"/>
      <w:lang w:val="es-CL" w:eastAsia="es-CL"/>
    </w:rPr>
  </w:style>
  <w:style w:type="table" w:styleId="Tablaconcuadrcula">
    <w:name w:val="Table Grid"/>
    <w:basedOn w:val="Tablanormal"/>
    <w:uiPriority w:val="59"/>
    <w:rsid w:val="006857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itation">
    <w:name w:val="citation"/>
    <w:basedOn w:val="Fuentedeprrafopredeter"/>
    <w:rsid w:val="006857A0"/>
  </w:style>
  <w:style w:type="paragraph" w:styleId="Textodeglobo">
    <w:name w:val="Balloon Text"/>
    <w:basedOn w:val="Normal"/>
    <w:link w:val="TextodegloboCar"/>
    <w:uiPriority w:val="99"/>
    <w:semiHidden/>
    <w:unhideWhenUsed/>
    <w:rsid w:val="006857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7A0"/>
    <w:rPr>
      <w:rFonts w:ascii="Tahoma" w:hAnsi="Tahoma" w:cs="Tahoma"/>
      <w:sz w:val="16"/>
      <w:szCs w:val="16"/>
      <w:lang w:val="es-ES"/>
    </w:rPr>
  </w:style>
  <w:style w:type="paragraph" w:styleId="Encabezado">
    <w:name w:val="header"/>
    <w:basedOn w:val="Normal"/>
    <w:link w:val="EncabezadoCar"/>
    <w:uiPriority w:val="99"/>
    <w:unhideWhenUsed/>
    <w:rsid w:val="00493C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3CD4"/>
    <w:rPr>
      <w:lang w:val="es-ES"/>
    </w:rPr>
  </w:style>
  <w:style w:type="paragraph" w:styleId="Piedepgina">
    <w:name w:val="footer"/>
    <w:basedOn w:val="Normal"/>
    <w:link w:val="PiedepginaCar"/>
    <w:uiPriority w:val="99"/>
    <w:semiHidden/>
    <w:unhideWhenUsed/>
    <w:rsid w:val="00493C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93CD4"/>
    <w:rPr>
      <w:lang w:val="es-ES"/>
    </w:rPr>
  </w:style>
  <w:style w:type="character" w:styleId="nfasis">
    <w:name w:val="Emphasis"/>
    <w:basedOn w:val="Fuentedeprrafopredeter"/>
    <w:uiPriority w:val="20"/>
    <w:qFormat/>
    <w:rsid w:val="006A56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gold.org/download/file/7739/world_official_gold_holdings_as_of_Feb2020_ifs.xlsx" TargetMode="External"/><Relationship Id="rId4" Type="http://schemas.openxmlformats.org/officeDocument/2006/relationships/footnotes" Target="footnotes.xml"/><Relationship Id="rId9" Type="http://schemas.openxmlformats.org/officeDocument/2006/relationships/hyperlink" Target="https://www.gold.org/researc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4216</Words>
  <Characters>23193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vegah</dc:creator>
  <cp:lastModifiedBy>Rosario Hermano</cp:lastModifiedBy>
  <cp:revision>3</cp:revision>
  <dcterms:created xsi:type="dcterms:W3CDTF">2022-05-11T15:05:00Z</dcterms:created>
  <dcterms:modified xsi:type="dcterms:W3CDTF">2022-05-11T15:05:00Z</dcterms:modified>
</cp:coreProperties>
</file>