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97E9" w14:textId="77777777" w:rsidR="008E2C5B" w:rsidRPr="008E2C5B" w:rsidRDefault="008E2C5B" w:rsidP="008E2C5B">
      <w:pPr>
        <w:shd w:val="clear" w:color="auto" w:fill="FFFFFF"/>
        <w:jc w:val="center"/>
        <w:outlineLvl w:val="0"/>
        <w:rPr>
          <w:rFonts w:ascii="Merriweather" w:eastAsia="Times New Roman" w:hAnsi="Merriweather" w:cs="Times New Roman"/>
          <w:b/>
          <w:bCs/>
          <w:i/>
          <w:iCs/>
          <w:color w:val="000000"/>
          <w:kern w:val="36"/>
          <w:lang w:eastAsia="es-MX"/>
        </w:rPr>
      </w:pPr>
      <w:r w:rsidRPr="008E2C5B">
        <w:rPr>
          <w:rFonts w:ascii="Merriweather" w:eastAsia="Times New Roman" w:hAnsi="Merriweather" w:cs="Times New Roman"/>
          <w:b/>
          <w:bCs/>
          <w:i/>
          <w:iCs/>
          <w:color w:val="000000"/>
          <w:kern w:val="36"/>
          <w:lang w:eastAsia="es-MX"/>
        </w:rPr>
        <w:t>El mensaje del Papa Francisco a los lasallistas, en 12 frases</w:t>
      </w:r>
    </w:p>
    <w:p w14:paraId="32A59525" w14:textId="3934125B" w:rsidR="008E2C5B" w:rsidRPr="008E2C5B" w:rsidRDefault="008E2C5B" w:rsidP="008E2C5B">
      <w:pPr>
        <w:shd w:val="clear" w:color="auto" w:fill="FFFFFF"/>
        <w:jc w:val="center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por </w:t>
      </w:r>
      <w:hyperlink r:id="rId5" w:history="1">
        <w:r w:rsidRPr="008E2C5B">
          <w:rPr>
            <w:rFonts w:ascii="Titillium Web" w:eastAsia="Times New Roman" w:hAnsi="Titillium Web" w:cs="Times New Roman"/>
            <w:color w:val="E00109"/>
            <w:lang w:eastAsia="es-MX"/>
          </w:rPr>
          <w:t>Óscar Elizalde Prada</w:t>
        </w:r>
      </w:hyperlink>
      <w:r w:rsidRPr="008E2C5B">
        <w:rPr>
          <w:rFonts w:ascii="Titillium Web" w:eastAsia="Times New Roman" w:hAnsi="Titillium Web" w:cs="Times New Roman"/>
          <w:color w:val="333333"/>
          <w:lang w:eastAsia="es-MX"/>
        </w:rPr>
        <w:t> el </w:t>
      </w:r>
      <w:r w:rsidRPr="008E2C5B">
        <w:rPr>
          <w:rFonts w:ascii="Titillium Web" w:eastAsia="Times New Roman" w:hAnsi="Titillium Web" w:cs="Times New Roman"/>
          <w:b/>
          <w:bCs/>
          <w:color w:val="333333"/>
          <w:lang w:eastAsia="es-MX"/>
        </w:rPr>
        <w:t xml:space="preserve">21/05/2022 </w:t>
      </w:r>
    </w:p>
    <w:p w14:paraId="15577B92" w14:textId="77777777" w:rsidR="008E2C5B" w:rsidRPr="008E2C5B" w:rsidRDefault="00AD2D14" w:rsidP="008E2C5B">
      <w:pPr>
        <w:spacing w:after="300"/>
        <w:rPr>
          <w:rFonts w:ascii="Times New Roman" w:eastAsia="Times New Roman" w:hAnsi="Times New Roman" w:cs="Times New Roman"/>
          <w:lang w:eastAsia="es-MX"/>
        </w:rPr>
      </w:pPr>
      <w:r w:rsidRPr="008E2C5B">
        <w:rPr>
          <w:rFonts w:ascii="Times New Roman" w:eastAsia="Times New Roman" w:hAnsi="Times New Roman" w:cs="Times New Roman"/>
          <w:noProof/>
          <w:lang w:eastAsia="es-MX"/>
        </w:rPr>
        <w:pict w14:anchorId="4B43D37B">
          <v:rect id="_x0000_i1025" alt="" style="width:441.9pt;height:.05pt;mso-width-percent:0;mso-height-percent:0;mso-width-percent:0;mso-height-percent:0" o:hralign="center" o:hrstd="t" o:hrnoshade="t" o:hr="t" fillcolor="#333" stroked="f"/>
        </w:pict>
      </w:r>
    </w:p>
    <w:p w14:paraId="582C3C52" w14:textId="77777777" w:rsidR="008E2C5B" w:rsidRPr="008E2C5B" w:rsidRDefault="008E2C5B" w:rsidP="008E2C5B">
      <w:pPr>
        <w:shd w:val="clear" w:color="auto" w:fill="FFFFFF"/>
        <w:jc w:val="right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  </w:t>
      </w:r>
    </w:p>
    <w:p w14:paraId="3412FD0B" w14:textId="77777777" w:rsidR="008E2C5B" w:rsidRPr="008E2C5B" w:rsidRDefault="008E2C5B" w:rsidP="008E2C5B">
      <w:pPr>
        <w:shd w:val="clear" w:color="auto" w:fill="FFFFFF"/>
        <w:spacing w:after="48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Este 21 de mayo, a las 10:30 a.m. (hora de Roma),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el Papa Francisco recibió a los participantes del 46.º Capítulo General de los Hermanos de las Escuelas Cristianas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 en la Sala del Consistorio del Vaticano.</w:t>
      </w:r>
    </w:p>
    <w:p w14:paraId="57824E02" w14:textId="6076EB63" w:rsidR="008E2C5B" w:rsidRPr="008E2C5B" w:rsidRDefault="008E2C5B" w:rsidP="008E2C5B">
      <w:pPr>
        <w:shd w:val="clear" w:color="auto" w:fill="FFFFFF"/>
        <w:rPr>
          <w:rFonts w:ascii="Titillium Web" w:eastAsia="Times New Roman" w:hAnsi="Titillium Web" w:cs="Times New Roman"/>
          <w:color w:val="000000" w:themeColor="text1"/>
          <w:lang w:eastAsia="es-MX"/>
        </w:rPr>
      </w:pPr>
      <w:r w:rsidRPr="003D79F2">
        <w:rPr>
          <w:rFonts w:ascii="Titillium Web" w:eastAsia="Times New Roman" w:hAnsi="Titillium Web" w:cs="Times New Roman"/>
          <w:noProof/>
          <w:color w:val="000000" w:themeColor="text1"/>
          <w:lang w:eastAsia="es-MX"/>
        </w:rPr>
        <w:drawing>
          <wp:inline distT="0" distB="0" distL="0" distR="0" wp14:anchorId="0414E81C" wp14:editId="333A590C">
            <wp:extent cx="5612130" cy="3150235"/>
            <wp:effectExtent l="0" t="0" r="1270" b="0"/>
            <wp:docPr id="2" name="Imagen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799B7" w14:textId="77777777" w:rsidR="008E2C5B" w:rsidRPr="008E2C5B" w:rsidRDefault="008E2C5B" w:rsidP="008E2C5B">
      <w:pPr>
        <w:shd w:val="clear" w:color="auto" w:fill="FFFFFF"/>
        <w:jc w:val="center"/>
        <w:rPr>
          <w:rFonts w:ascii="Titillium Web" w:eastAsia="Times New Roman" w:hAnsi="Titillium Web" w:cs="Times New Roman"/>
          <w:color w:val="FFFFFF"/>
          <w:lang w:eastAsia="es-MX"/>
        </w:rPr>
      </w:pPr>
      <w:r w:rsidRPr="008E2C5B">
        <w:rPr>
          <w:rFonts w:ascii="Titillium Web" w:eastAsia="Times New Roman" w:hAnsi="Titillium Web" w:cs="Times New Roman"/>
          <w:color w:val="000000" w:themeColor="text1"/>
          <w:lang w:eastAsia="es-MX"/>
        </w:rPr>
        <w:t xml:space="preserve">El Hno. Armin </w:t>
      </w:r>
      <w:proofErr w:type="spellStart"/>
      <w:r w:rsidRPr="008E2C5B">
        <w:rPr>
          <w:rFonts w:ascii="Titillium Web" w:eastAsia="Times New Roman" w:hAnsi="Titillium Web" w:cs="Times New Roman"/>
          <w:color w:val="000000" w:themeColor="text1"/>
          <w:lang w:eastAsia="es-MX"/>
        </w:rPr>
        <w:t>Luistro</w:t>
      </w:r>
      <w:proofErr w:type="spellEnd"/>
      <w:r w:rsidRPr="008E2C5B">
        <w:rPr>
          <w:rFonts w:ascii="Titillium Web" w:eastAsia="Times New Roman" w:hAnsi="Titillium Web" w:cs="Times New Roman"/>
          <w:color w:val="000000" w:themeColor="text1"/>
          <w:lang w:eastAsia="es-MX"/>
        </w:rPr>
        <w:t xml:space="preserve">, nuevo Superior General de los lasallistas, saluda al Papa </w:t>
      </w:r>
      <w:r w:rsidRPr="008E2C5B">
        <w:rPr>
          <w:rFonts w:ascii="Titillium Web" w:eastAsia="Times New Roman" w:hAnsi="Titillium Web" w:cs="Times New Roman"/>
          <w:color w:val="FFFFFF"/>
          <w:lang w:eastAsia="es-MX"/>
        </w:rPr>
        <w:t>Francisco</w:t>
      </w:r>
    </w:p>
    <w:p w14:paraId="01D0C60B" w14:textId="77777777" w:rsidR="008E2C5B" w:rsidRPr="008E2C5B" w:rsidRDefault="008E2C5B" w:rsidP="008E2C5B">
      <w:pPr>
        <w:shd w:val="clear" w:color="auto" w:fill="FFFFFF"/>
        <w:spacing w:after="48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 xml:space="preserve">En su mensaje a los representantes de los lasallistas de todo el mundo, que en estos días eligieron al Hno. Armin </w:t>
      </w:r>
      <w:proofErr w:type="spellStart"/>
      <w:r w:rsidRPr="008E2C5B">
        <w:rPr>
          <w:rFonts w:ascii="Titillium Web" w:eastAsia="Times New Roman" w:hAnsi="Titillium Web" w:cs="Times New Roman"/>
          <w:color w:val="333333"/>
          <w:lang w:eastAsia="es-MX"/>
        </w:rPr>
        <w:t>Luistro</w:t>
      </w:r>
      <w:proofErr w:type="spellEnd"/>
      <w:r w:rsidRPr="008E2C5B">
        <w:rPr>
          <w:rFonts w:ascii="Titillium Web" w:eastAsia="Times New Roman" w:hAnsi="Titillium Web" w:cs="Times New Roman"/>
          <w:color w:val="333333"/>
          <w:lang w:eastAsia="es-MX"/>
        </w:rPr>
        <w:t xml:space="preserve"> como Superior General, el Papa retomó el lema del Capítulo General: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“construir nuevos caminos para transformar vidas”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, resaltando los valores de la rica tradición lasallista y su compromiso por “educar en la responsabilidad, en la creatividad, en la convivencia, en la justicia, en la paz; educar en la vida interior, en la apertura a lo trascendente, en el sentido del asombro y la contemplación ante el misterio de la vida y la creación”.</w:t>
      </w:r>
    </w:p>
    <w:p w14:paraId="414A4F31" w14:textId="77777777" w:rsidR="008E2C5B" w:rsidRPr="008E2C5B" w:rsidRDefault="008E2C5B" w:rsidP="008E2C5B">
      <w:pPr>
        <w:shd w:val="clear" w:color="auto" w:fill="FFFFFF"/>
        <w:spacing w:after="480"/>
        <w:outlineLvl w:val="2"/>
        <w:rPr>
          <w:rFonts w:ascii="inherit" w:eastAsia="Times New Roman" w:hAnsi="inherit" w:cs="Times New Roman"/>
          <w:b/>
          <w:bCs/>
          <w:color w:val="DD0000"/>
          <w:lang w:eastAsia="es-MX"/>
        </w:rPr>
      </w:pPr>
      <w:r w:rsidRPr="008E2C5B">
        <w:rPr>
          <w:rFonts w:ascii="inherit" w:eastAsia="Times New Roman" w:hAnsi="inherit" w:cs="Times New Roman"/>
          <w:b/>
          <w:bCs/>
          <w:color w:val="DD0000"/>
          <w:lang w:eastAsia="es-MX"/>
        </w:rPr>
        <w:t>Fraternidad y cuidado de la casa común</w:t>
      </w:r>
    </w:p>
    <w:p w14:paraId="5ACCD14F" w14:textId="77777777" w:rsidR="008E2C5B" w:rsidRPr="008E2C5B" w:rsidRDefault="008E2C5B" w:rsidP="008E2C5B">
      <w:pPr>
        <w:shd w:val="clear" w:color="auto" w:fill="FFFFFF"/>
        <w:spacing w:after="48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lastRenderedPageBreak/>
        <w:t>Francisco propuso a los lasallistas dos grandes retos educativos: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el reto de la fraternidad y el reto del cuidado de la casa común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, coincidiendo con los valores prioritarios discernidos por el Capítulo General.</w:t>
      </w:r>
    </w:p>
    <w:p w14:paraId="7E86B19E" w14:textId="77777777" w:rsidR="008E2C5B" w:rsidRPr="008E2C5B" w:rsidRDefault="008E2C5B" w:rsidP="008E2C5B">
      <w:pPr>
        <w:shd w:val="clear" w:color="auto" w:fill="FFFFFF"/>
        <w:spacing w:after="48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De igual forma, exhortó a los educadores lasallistas a enfocar sus esfuerzos para que los caminos de transformación partan de la conciencia, pues de lo contrario “solo será una fachada”. De ahí la importancia de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no trabajar aisladamente “sino cooperando en una ‘alianza educativa’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 con las familias, con las comunidades y agregaciones eclesiales, con las realidades educativas presentes en el territorio”.</w:t>
      </w:r>
    </w:p>
    <w:p w14:paraId="1058E626" w14:textId="5A4BF8E9" w:rsidR="008E2C5B" w:rsidRPr="008E2C5B" w:rsidRDefault="008E2C5B" w:rsidP="008E2C5B">
      <w:pPr>
        <w:shd w:val="clear" w:color="auto" w:fill="FFFFFF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noProof/>
          <w:color w:val="E00109"/>
          <w:lang w:eastAsia="es-MX"/>
        </w:rPr>
        <w:drawing>
          <wp:inline distT="0" distB="0" distL="0" distR="0" wp14:anchorId="31192628" wp14:editId="26F9DACF">
            <wp:extent cx="5612130" cy="4213225"/>
            <wp:effectExtent l="0" t="0" r="1270" b="3175"/>
            <wp:docPr id="1" name="Imagen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1FB13" w14:textId="77777777" w:rsidR="008E2C5B" w:rsidRPr="008E2C5B" w:rsidRDefault="008E2C5B" w:rsidP="008E2C5B">
      <w:pPr>
        <w:shd w:val="clear" w:color="auto" w:fill="FFFFFF"/>
        <w:jc w:val="center"/>
        <w:rPr>
          <w:rFonts w:ascii="Titillium Web" w:eastAsia="Times New Roman" w:hAnsi="Titillium Web" w:cs="Times New Roman"/>
          <w:color w:val="000000" w:themeColor="text1"/>
          <w:lang w:eastAsia="es-MX"/>
        </w:rPr>
      </w:pPr>
      <w:r w:rsidRPr="008E2C5B">
        <w:rPr>
          <w:rFonts w:ascii="Titillium Web" w:eastAsia="Times New Roman" w:hAnsi="Titillium Web" w:cs="Times New Roman"/>
          <w:color w:val="000000" w:themeColor="text1"/>
          <w:lang w:eastAsia="es-MX"/>
        </w:rPr>
        <w:t>Participantes del 46.º Capítulo General de los Hermanos de La Salle</w:t>
      </w:r>
    </w:p>
    <w:p w14:paraId="2124F737" w14:textId="77777777" w:rsidR="003D79F2" w:rsidRDefault="003D79F2" w:rsidP="008E2C5B">
      <w:pPr>
        <w:shd w:val="clear" w:color="auto" w:fill="FFFFFF"/>
        <w:spacing w:after="480"/>
        <w:rPr>
          <w:rFonts w:ascii="Titillium Web" w:eastAsia="Times New Roman" w:hAnsi="Titillium Web" w:cs="Times New Roman"/>
          <w:color w:val="000000" w:themeColor="text1"/>
          <w:lang w:eastAsia="es-MX"/>
        </w:rPr>
      </w:pPr>
    </w:p>
    <w:p w14:paraId="3E89D561" w14:textId="1EDD0C13" w:rsidR="008E2C5B" w:rsidRPr="008E2C5B" w:rsidRDefault="008E2C5B" w:rsidP="008E2C5B">
      <w:pPr>
        <w:shd w:val="clear" w:color="auto" w:fill="FFFFFF"/>
        <w:spacing w:after="48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000000" w:themeColor="text1"/>
          <w:lang w:eastAsia="es-MX"/>
        </w:rPr>
        <w:t>La siguient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e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selección de frases del Papa Francisco a los lasallistas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 xml:space="preserve"> recoge algunas ‘palabras significativas’ que bien podrían iluminar y contribuir al proceso de renovación y actualización del carisma de San Juan Bautista de La Salle en el mundo de hoy, y desde 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lastRenderedPageBreak/>
        <w:t>la perspectiva propuesta por el 46.º Capítulo General que concluirá el domingo 22 de mayo.</w:t>
      </w:r>
    </w:p>
    <w:p w14:paraId="48CBBD09" w14:textId="77777777" w:rsidR="008E2C5B" w:rsidRPr="008E2C5B" w:rsidRDefault="008E2C5B" w:rsidP="008E2C5B">
      <w:pPr>
        <w:numPr>
          <w:ilvl w:val="0"/>
          <w:numId w:val="1"/>
        </w:numPr>
        <w:shd w:val="clear" w:color="auto" w:fill="FFFFFF"/>
        <w:spacing w:after="60"/>
        <w:ind w:left="102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“Sabemos que la ‘vía’,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el camino verdaderamente nuevo, es Jesucristo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: siguiéndolo a Él, caminando con Él, nuestra vida se transforma, y a su vez nos convertimos en levadura, sal, luz”.</w:t>
      </w:r>
    </w:p>
    <w:p w14:paraId="4B1FD118" w14:textId="77777777" w:rsidR="008E2C5B" w:rsidRPr="008E2C5B" w:rsidRDefault="008E2C5B" w:rsidP="008E2C5B">
      <w:pPr>
        <w:numPr>
          <w:ilvl w:val="0"/>
          <w:numId w:val="1"/>
        </w:numPr>
        <w:shd w:val="clear" w:color="auto" w:fill="FFFFFF"/>
        <w:spacing w:after="60"/>
        <w:ind w:left="102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“Para ustedes, según el carisma de san Juan Bautista de La Salle,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estos ‘nuevos caminos’ son, ante todo, caminos de educación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”.</w:t>
      </w:r>
    </w:p>
    <w:p w14:paraId="1EA562DB" w14:textId="77777777" w:rsidR="008E2C5B" w:rsidRPr="008E2C5B" w:rsidRDefault="008E2C5B" w:rsidP="008E2C5B">
      <w:pPr>
        <w:numPr>
          <w:ilvl w:val="0"/>
          <w:numId w:val="1"/>
        </w:numPr>
        <w:shd w:val="clear" w:color="auto" w:fill="FFFFFF"/>
        <w:spacing w:after="60"/>
        <w:ind w:left="102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“La labor educativa es un gran regalo, primero que todo para quienes la realizan: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¡es una labor que pide mucho, pero que da mucho!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”.</w:t>
      </w:r>
    </w:p>
    <w:p w14:paraId="49CE3CEE" w14:textId="77777777" w:rsidR="008E2C5B" w:rsidRPr="008E2C5B" w:rsidRDefault="008E2C5B" w:rsidP="008E2C5B">
      <w:pPr>
        <w:numPr>
          <w:ilvl w:val="0"/>
          <w:numId w:val="1"/>
        </w:numPr>
        <w:shd w:val="clear" w:color="auto" w:fill="FFFFFF"/>
        <w:spacing w:after="60"/>
        <w:ind w:left="102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“La relación constante con los educadores, con los padres y, sobre todo, con los niños y jóvenes es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una fuente siempre viva de humanidad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”.</w:t>
      </w:r>
    </w:p>
    <w:p w14:paraId="08045A58" w14:textId="77777777" w:rsidR="008E2C5B" w:rsidRPr="008E2C5B" w:rsidRDefault="008E2C5B" w:rsidP="008E2C5B">
      <w:pPr>
        <w:numPr>
          <w:ilvl w:val="0"/>
          <w:numId w:val="1"/>
        </w:numPr>
        <w:shd w:val="clear" w:color="auto" w:fill="FFFFFF"/>
        <w:spacing w:after="60"/>
        <w:ind w:left="102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“Me viene a la mente el lema de San Juan Pablo II en </w:t>
      </w:r>
      <w:proofErr w:type="spellStart"/>
      <w:r w:rsidRPr="008E2C5B">
        <w:rPr>
          <w:rFonts w:ascii="Titillium Web" w:eastAsia="Times New Roman" w:hAnsi="Titillium Web" w:cs="Times New Roman"/>
          <w:i/>
          <w:iCs/>
          <w:color w:val="333333"/>
          <w:lang w:eastAsia="es-MX"/>
        </w:rPr>
        <w:t>Redemptor</w:t>
      </w:r>
      <w:proofErr w:type="spellEnd"/>
      <w:r w:rsidRPr="008E2C5B">
        <w:rPr>
          <w:rFonts w:ascii="Titillium Web" w:eastAsia="Times New Roman" w:hAnsi="Titillium Web" w:cs="Times New Roman"/>
          <w:i/>
          <w:iCs/>
          <w:color w:val="333333"/>
          <w:lang w:eastAsia="es-MX"/>
        </w:rPr>
        <w:t xml:space="preserve"> hominis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: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‘El hombre es el camino de la Iglesia’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. Ustedes ponen en práctica este lema en su misión educativa”.</w:t>
      </w:r>
    </w:p>
    <w:p w14:paraId="2A0A9A51" w14:textId="77777777" w:rsidR="008E2C5B" w:rsidRPr="008E2C5B" w:rsidRDefault="008E2C5B" w:rsidP="008E2C5B">
      <w:pPr>
        <w:numPr>
          <w:ilvl w:val="0"/>
          <w:numId w:val="1"/>
        </w:numPr>
        <w:shd w:val="clear" w:color="auto" w:fill="FFFFFF"/>
        <w:spacing w:after="60"/>
        <w:ind w:left="102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“Su apostolado, su contribución específica a la evangelización [es] hacer crecer lo humano según Cristo. En este sentido,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sus escuelas son ‘cristianas’, no por una etiqueta exterior”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.</w:t>
      </w:r>
    </w:p>
    <w:p w14:paraId="73CEDFAD" w14:textId="77777777" w:rsidR="008E2C5B" w:rsidRPr="008E2C5B" w:rsidRDefault="008E2C5B" w:rsidP="008E2C5B">
      <w:pPr>
        <w:numPr>
          <w:ilvl w:val="0"/>
          <w:numId w:val="1"/>
        </w:numPr>
        <w:shd w:val="clear" w:color="auto" w:fill="FFFFFF"/>
        <w:spacing w:after="60"/>
        <w:ind w:left="102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“Los dos grandes retos de nuestro tiempo: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el reto de la </w:t>
      </w:r>
      <w:r w:rsidRPr="008E2C5B">
        <w:rPr>
          <w:rFonts w:ascii="Titillium Web" w:eastAsia="Times New Roman" w:hAnsi="Titillium Web" w:cs="Times New Roman"/>
          <w:b/>
          <w:bCs/>
          <w:i/>
          <w:iCs/>
          <w:color w:val="535353"/>
          <w:lang w:eastAsia="es-MX"/>
        </w:rPr>
        <w:t>fraternidad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y el reto del </w:t>
      </w:r>
      <w:r w:rsidRPr="008E2C5B">
        <w:rPr>
          <w:rFonts w:ascii="Titillium Web" w:eastAsia="Times New Roman" w:hAnsi="Titillium Web" w:cs="Times New Roman"/>
          <w:b/>
          <w:bCs/>
          <w:i/>
          <w:iCs/>
          <w:color w:val="535353"/>
          <w:lang w:eastAsia="es-MX"/>
        </w:rPr>
        <w:t>cuidado de la casa común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, no pueden ser afrontados sino a través de la educación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. Ambos son, ante todo, </w:t>
      </w:r>
      <w:r w:rsidRPr="008E2C5B">
        <w:rPr>
          <w:rFonts w:ascii="Titillium Web" w:eastAsia="Times New Roman" w:hAnsi="Titillium Web" w:cs="Times New Roman"/>
          <w:i/>
          <w:iCs/>
          <w:color w:val="333333"/>
          <w:lang w:eastAsia="es-MX"/>
        </w:rPr>
        <w:t>retos educativos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”.</w:t>
      </w:r>
    </w:p>
    <w:p w14:paraId="6267F046" w14:textId="77777777" w:rsidR="008E2C5B" w:rsidRPr="008E2C5B" w:rsidRDefault="008E2C5B" w:rsidP="008E2C5B">
      <w:pPr>
        <w:numPr>
          <w:ilvl w:val="0"/>
          <w:numId w:val="1"/>
        </w:numPr>
        <w:shd w:val="clear" w:color="auto" w:fill="FFFFFF"/>
        <w:spacing w:after="60"/>
        <w:ind w:left="102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“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Ustedes, hermanos, están en primera línea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, educando para pasar de un mundo cerrado a un mundo abierto; de una cultura del descarte a una cultura del cuidado; de la búsqueda de intereses creados a la búsqueda del bien común”.</w:t>
      </w:r>
    </w:p>
    <w:p w14:paraId="48799428" w14:textId="77777777" w:rsidR="008E2C5B" w:rsidRPr="008E2C5B" w:rsidRDefault="008E2C5B" w:rsidP="008E2C5B">
      <w:pPr>
        <w:numPr>
          <w:ilvl w:val="0"/>
          <w:numId w:val="1"/>
        </w:numPr>
        <w:shd w:val="clear" w:color="auto" w:fill="FFFFFF"/>
        <w:spacing w:after="60"/>
        <w:ind w:left="102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“Como educadores, saben muy bien que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esta transformación debe partir de la conciencia, o sólo será una fachada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”.</w:t>
      </w:r>
    </w:p>
    <w:p w14:paraId="7B359D7E" w14:textId="77777777" w:rsidR="008E2C5B" w:rsidRPr="008E2C5B" w:rsidRDefault="008E2C5B" w:rsidP="008E2C5B">
      <w:pPr>
        <w:numPr>
          <w:ilvl w:val="0"/>
          <w:numId w:val="1"/>
        </w:numPr>
        <w:shd w:val="clear" w:color="auto" w:fill="FFFFFF"/>
        <w:spacing w:after="60"/>
        <w:ind w:left="102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“Para ser buenos educadores, no deben descuidarse.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No pueden dar a los jóvenes lo que no tienes dentro de sí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”.</w:t>
      </w:r>
    </w:p>
    <w:p w14:paraId="52E7D83E" w14:textId="77777777" w:rsidR="008E2C5B" w:rsidRPr="008E2C5B" w:rsidRDefault="008E2C5B" w:rsidP="008E2C5B">
      <w:pPr>
        <w:numPr>
          <w:ilvl w:val="0"/>
          <w:numId w:val="1"/>
        </w:numPr>
        <w:shd w:val="clear" w:color="auto" w:fill="FFFFFF"/>
        <w:spacing w:after="60"/>
        <w:ind w:left="102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“El educador cristiano, en la escuela de Cristo, es ante todo un testigo, y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es maestro en la medida en que es testigo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”.</w:t>
      </w:r>
    </w:p>
    <w:p w14:paraId="235FAAE7" w14:textId="77777777" w:rsidR="008E2C5B" w:rsidRPr="008E2C5B" w:rsidRDefault="008E2C5B" w:rsidP="008E2C5B">
      <w:pPr>
        <w:numPr>
          <w:ilvl w:val="0"/>
          <w:numId w:val="1"/>
        </w:numPr>
        <w:shd w:val="clear" w:color="auto" w:fill="FFFFFF"/>
        <w:spacing w:after="60"/>
        <w:ind w:left="102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“Vayan con la alegría de </w:t>
      </w:r>
      <w:r w:rsidRPr="008E2C5B">
        <w:rPr>
          <w:rFonts w:ascii="Titillium Web" w:eastAsia="Times New Roman" w:hAnsi="Titillium Web" w:cs="Times New Roman"/>
          <w:b/>
          <w:bCs/>
          <w:i/>
          <w:iCs/>
          <w:color w:val="535353"/>
          <w:lang w:eastAsia="es-MX"/>
        </w:rPr>
        <w:t>evangelizar educando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 y de </w:t>
      </w:r>
      <w:r w:rsidRPr="008E2C5B">
        <w:rPr>
          <w:rFonts w:ascii="Titillium Web" w:eastAsia="Times New Roman" w:hAnsi="Titillium Web" w:cs="Times New Roman"/>
          <w:b/>
          <w:bCs/>
          <w:i/>
          <w:iCs/>
          <w:color w:val="535353"/>
          <w:lang w:eastAsia="es-MX"/>
        </w:rPr>
        <w:t>educar evangelizando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”.</w:t>
      </w:r>
    </w:p>
    <w:p w14:paraId="282C145F" w14:textId="77777777" w:rsidR="008E2C5B" w:rsidRPr="008E2C5B" w:rsidRDefault="008E2C5B" w:rsidP="008E2C5B">
      <w:pPr>
        <w:shd w:val="clear" w:color="auto" w:fill="FFFFFF"/>
        <w:spacing w:after="480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lastRenderedPageBreak/>
        <w:t>Coletilla: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 Al final de su discurso el Papa Francisco bendijo a los Hermanos Capitulares y a todas las comunidades lasallistas del mundo. Como es su costumbre, les hizo una petición: “por favor no se olviden de rezar por mí”. El Papa también les prometió sus plegarias: </w:t>
      </w:r>
      <w:r w:rsidRPr="008E2C5B">
        <w:rPr>
          <w:rFonts w:ascii="Titillium Web" w:eastAsia="Times New Roman" w:hAnsi="Titillium Web" w:cs="Times New Roman"/>
          <w:b/>
          <w:bCs/>
          <w:color w:val="535353"/>
          <w:lang w:eastAsia="es-MX"/>
        </w:rPr>
        <w:t>“rezo por ustedes, para que sean hermanos no sólo de nombre sino de hecho. Y que sus escuelas sean cristianas no de nombre sino de hecho”</w:t>
      </w:r>
      <w:r w:rsidRPr="008E2C5B">
        <w:rPr>
          <w:rFonts w:ascii="Titillium Web" w:eastAsia="Times New Roman" w:hAnsi="Titillium Web" w:cs="Times New Roman"/>
          <w:color w:val="333333"/>
          <w:lang w:eastAsia="es-MX"/>
        </w:rPr>
        <w:t>.</w:t>
      </w:r>
    </w:p>
    <w:p w14:paraId="3E1639AF" w14:textId="4E993DCC" w:rsidR="008E2C5B" w:rsidRDefault="008E2C5B" w:rsidP="008E2C5B">
      <w:pPr>
        <w:shd w:val="clear" w:color="auto" w:fill="FFFFFF"/>
        <w:rPr>
          <w:rFonts w:ascii="Titillium Web" w:eastAsia="Times New Roman" w:hAnsi="Titillium Web" w:cs="Times New Roman"/>
          <w:color w:val="333333"/>
          <w:lang w:eastAsia="es-MX"/>
        </w:rPr>
      </w:pPr>
      <w:r w:rsidRPr="008E2C5B">
        <w:rPr>
          <w:rFonts w:ascii="Titillium Web" w:eastAsia="Times New Roman" w:hAnsi="Titillium Web" w:cs="Times New Roman"/>
          <w:color w:val="333333"/>
          <w:lang w:eastAsia="es-MX"/>
        </w:rPr>
        <w:t>Fotos: Hermanos de las Escuelas Cristianas.</w:t>
      </w:r>
    </w:p>
    <w:p w14:paraId="67E498EB" w14:textId="47CB5918" w:rsidR="008E2C5B" w:rsidRDefault="008E2C5B" w:rsidP="008E2C5B">
      <w:pPr>
        <w:shd w:val="clear" w:color="auto" w:fill="FFFFFF"/>
        <w:rPr>
          <w:rFonts w:ascii="Titillium Web" w:eastAsia="Times New Roman" w:hAnsi="Titillium Web" w:cs="Times New Roman"/>
          <w:color w:val="333333"/>
          <w:lang w:eastAsia="es-MX"/>
        </w:rPr>
      </w:pPr>
    </w:p>
    <w:p w14:paraId="5F25D2DF" w14:textId="77F47D56" w:rsidR="008E2C5B" w:rsidRPr="008E2C5B" w:rsidRDefault="008E2C5B" w:rsidP="008E2C5B">
      <w:pPr>
        <w:shd w:val="clear" w:color="auto" w:fill="FFFFFF"/>
        <w:rPr>
          <w:rFonts w:ascii="Titillium Web" w:eastAsia="Times New Roman" w:hAnsi="Titillium Web" w:cs="Times New Roman"/>
          <w:color w:val="333333"/>
          <w:lang w:eastAsia="es-MX"/>
        </w:rPr>
      </w:pPr>
      <w:r>
        <w:rPr>
          <w:rFonts w:ascii="Titillium Web" w:eastAsia="Times New Roman" w:hAnsi="Titillium Web" w:cs="Times New Roman"/>
          <w:color w:val="333333"/>
          <w:lang w:eastAsia="es-MX"/>
        </w:rPr>
        <w:t xml:space="preserve">Publicado en: </w:t>
      </w:r>
      <w:hyperlink r:id="rId10" w:history="1">
        <w:r w:rsidRPr="00D40C30">
          <w:rPr>
            <w:rStyle w:val="Hipervnculo"/>
            <w:rFonts w:ascii="Titillium Web" w:eastAsia="Times New Roman" w:hAnsi="Titillium Web" w:cs="Times New Roman"/>
            <w:lang w:eastAsia="es-MX"/>
          </w:rPr>
          <w:t>https://www.vidanuevadigital.com/blog/el-mensaje-del-papa-francisco-a-los-lasallistas-en-12-frases/</w:t>
        </w:r>
      </w:hyperlink>
      <w:r>
        <w:rPr>
          <w:rFonts w:ascii="Titillium Web" w:eastAsia="Times New Roman" w:hAnsi="Titillium Web" w:cs="Times New Roman"/>
          <w:color w:val="333333"/>
          <w:lang w:eastAsia="es-MX"/>
        </w:rPr>
        <w:t xml:space="preserve"> </w:t>
      </w:r>
    </w:p>
    <w:p w14:paraId="4C6EB4E2" w14:textId="77777777" w:rsidR="005729DE" w:rsidRPr="008E2C5B" w:rsidRDefault="005729DE"/>
    <w:sectPr w:rsidR="005729DE" w:rsidRPr="008E2C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B0604020202020204"/>
    <w:charset w:val="4D"/>
    <w:family w:val="auto"/>
    <w:pitch w:val="variable"/>
    <w:sig w:usb0="20000207" w:usb1="00000002" w:usb2="00000000" w:usb3="00000000" w:csb0="00000197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5521B"/>
    <w:multiLevelType w:val="multilevel"/>
    <w:tmpl w:val="4A5C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36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5B"/>
    <w:rsid w:val="003D79F2"/>
    <w:rsid w:val="005729DE"/>
    <w:rsid w:val="008909E9"/>
    <w:rsid w:val="008E2C5B"/>
    <w:rsid w:val="00AD2D14"/>
    <w:rsid w:val="00D3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8219"/>
  <w15:chartTrackingRefBased/>
  <w15:docId w15:val="{D2E4CC3F-747F-ED48-980D-DF4C7182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E2C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3">
    <w:name w:val="heading 3"/>
    <w:basedOn w:val="Normal"/>
    <w:link w:val="Ttulo3Car"/>
    <w:uiPriority w:val="9"/>
    <w:qFormat/>
    <w:rsid w:val="008E2C5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2C5B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8E2C5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author">
    <w:name w:val="author"/>
    <w:basedOn w:val="Fuentedeprrafopredeter"/>
    <w:rsid w:val="008E2C5B"/>
  </w:style>
  <w:style w:type="character" w:styleId="Hipervnculo">
    <w:name w:val="Hyperlink"/>
    <w:basedOn w:val="Fuentedeprrafopredeter"/>
    <w:uiPriority w:val="99"/>
    <w:unhideWhenUsed/>
    <w:rsid w:val="008E2C5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E2C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2C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wp-caption-text">
    <w:name w:val="wp-caption-text"/>
    <w:basedOn w:val="Normal"/>
    <w:rsid w:val="008E2C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nfasis">
    <w:name w:val="Emphasis"/>
    <w:basedOn w:val="Fuentedeprrafopredeter"/>
    <w:uiPriority w:val="20"/>
    <w:qFormat/>
    <w:rsid w:val="008E2C5B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8E2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7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1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749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03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anuevadigital.com/wp-content/uploads/2022/05/46CG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anuevadigital.com/wp-content/uploads/2022/05/WhatsApp-Image-2022-05-21-at-6.41.21-AM.jpe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vidanuevadigital.com/autor/oscar-elizalde-prada/" TargetMode="External"/><Relationship Id="rId10" Type="http://schemas.openxmlformats.org/officeDocument/2006/relationships/hyperlink" Target="https://www.vidanuevadigital.com/blog/el-mensaje-del-papa-francisco-a-los-lasallistas-en-12-fras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2022-05-22T13:50:00Z</dcterms:created>
  <dcterms:modified xsi:type="dcterms:W3CDTF">2022-05-22T14:09:00Z</dcterms:modified>
</cp:coreProperties>
</file>