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00C4B" w14:textId="77777777" w:rsidR="00D35EF1" w:rsidRPr="00D35EF1" w:rsidRDefault="00D35EF1" w:rsidP="00D35EF1">
      <w:pPr>
        <w:shd w:val="clear" w:color="auto" w:fill="FFFFFF"/>
        <w:spacing w:after="150" w:line="264" w:lineRule="atLeast"/>
        <w:outlineLvl w:val="1"/>
        <w:rPr>
          <w:rFonts w:ascii="Comic Sans MS" w:eastAsia="Times New Roman" w:hAnsi="Comic Sans MS" w:cs="Segoe UI"/>
          <w:b/>
          <w:bCs/>
          <w:color w:val="02791A"/>
          <w:sz w:val="36"/>
          <w:szCs w:val="36"/>
          <w:lang w:val="es-UY" w:eastAsia="es-UY"/>
        </w:rPr>
      </w:pPr>
      <w:r w:rsidRPr="00D35EF1">
        <w:rPr>
          <w:rFonts w:ascii="Comic Sans MS" w:eastAsia="Times New Roman" w:hAnsi="Comic Sans MS" w:cs="Segoe UI"/>
          <w:b/>
          <w:bCs/>
          <w:color w:val="02791A"/>
          <w:sz w:val="36"/>
          <w:szCs w:val="36"/>
          <w:lang w:val="es-UY" w:eastAsia="es-UY"/>
        </w:rPr>
        <w:t xml:space="preserve">Declaración de la </w:t>
      </w:r>
      <w:proofErr w:type="spellStart"/>
      <w:r w:rsidRPr="00D35EF1">
        <w:rPr>
          <w:rFonts w:ascii="Comic Sans MS" w:eastAsia="Times New Roman" w:hAnsi="Comic Sans MS" w:cs="Segoe UI"/>
          <w:b/>
          <w:bCs/>
          <w:color w:val="02791A"/>
          <w:sz w:val="36"/>
          <w:szCs w:val="36"/>
          <w:lang w:val="es-UY" w:eastAsia="es-UY"/>
        </w:rPr>
        <w:t>Regiòn</w:t>
      </w:r>
      <w:proofErr w:type="spellEnd"/>
      <w:r w:rsidRPr="00D35EF1">
        <w:rPr>
          <w:rFonts w:ascii="Comic Sans MS" w:eastAsia="Times New Roman" w:hAnsi="Comic Sans MS" w:cs="Segoe UI"/>
          <w:b/>
          <w:bCs/>
          <w:color w:val="02791A"/>
          <w:sz w:val="36"/>
          <w:szCs w:val="36"/>
          <w:lang w:val="es-UY" w:eastAsia="es-UY"/>
        </w:rPr>
        <w:t xml:space="preserve"> </w:t>
      </w:r>
      <w:proofErr w:type="spellStart"/>
      <w:r w:rsidRPr="00D35EF1">
        <w:rPr>
          <w:rFonts w:ascii="Comic Sans MS" w:eastAsia="Times New Roman" w:hAnsi="Comic Sans MS" w:cs="Segoe UI"/>
          <w:b/>
          <w:bCs/>
          <w:color w:val="02791A"/>
          <w:sz w:val="36"/>
          <w:szCs w:val="36"/>
          <w:lang w:val="es-UY" w:eastAsia="es-UY"/>
        </w:rPr>
        <w:t>Sicsal</w:t>
      </w:r>
      <w:proofErr w:type="spellEnd"/>
      <w:r w:rsidRPr="00D35EF1">
        <w:rPr>
          <w:rFonts w:ascii="Comic Sans MS" w:eastAsia="Times New Roman" w:hAnsi="Comic Sans MS" w:cs="Segoe UI"/>
          <w:b/>
          <w:bCs/>
          <w:color w:val="02791A"/>
          <w:sz w:val="36"/>
          <w:szCs w:val="36"/>
          <w:lang w:val="es-UY" w:eastAsia="es-UY"/>
        </w:rPr>
        <w:t xml:space="preserve"> Cono Sur</w:t>
      </w:r>
    </w:p>
    <w:p w14:paraId="03448DB0" w14:textId="77777777" w:rsidR="00D35EF1" w:rsidRPr="00D35EF1" w:rsidRDefault="00D35EF1" w:rsidP="00D35EF1">
      <w:pPr>
        <w:shd w:val="clear" w:color="auto" w:fill="FFFFFF"/>
        <w:spacing w:after="0" w:line="240" w:lineRule="auto"/>
        <w:rPr>
          <w:rFonts w:ascii="Segoe UI" w:eastAsia="Times New Roman" w:hAnsi="Segoe UI" w:cs="Segoe UI"/>
          <w:color w:val="212529"/>
          <w:sz w:val="24"/>
          <w:szCs w:val="24"/>
          <w:lang w:val="es-UY" w:eastAsia="es-UY"/>
        </w:rPr>
      </w:pPr>
      <w:r w:rsidRPr="00D35EF1">
        <w:rPr>
          <w:rFonts w:ascii="Segoe UI" w:eastAsia="Times New Roman" w:hAnsi="Segoe UI" w:cs="Segoe UI"/>
          <w:noProof/>
          <w:color w:val="212529"/>
          <w:sz w:val="24"/>
          <w:szCs w:val="24"/>
          <w:lang w:val="es-UY" w:eastAsia="es-UY"/>
        </w:rPr>
        <w:drawing>
          <wp:inline distT="0" distB="0" distL="0" distR="0" wp14:anchorId="068C64E6" wp14:editId="7B09BEE3">
            <wp:extent cx="4152900" cy="4152900"/>
            <wp:effectExtent l="0" t="0" r="0" b="0"/>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agram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52900" cy="4152900"/>
                    </a:xfrm>
                    <a:prstGeom prst="rect">
                      <a:avLst/>
                    </a:prstGeom>
                    <a:noFill/>
                    <a:ln>
                      <a:noFill/>
                    </a:ln>
                  </pic:spPr>
                </pic:pic>
              </a:graphicData>
            </a:graphic>
          </wp:inline>
        </w:drawing>
      </w:r>
    </w:p>
    <w:p w14:paraId="77FC56C0"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xml:space="preserve">A través de un documento La Coordinación de </w:t>
      </w:r>
      <w:proofErr w:type="spellStart"/>
      <w:r w:rsidRPr="00D35EF1">
        <w:rPr>
          <w:rFonts w:ascii="Arial" w:eastAsia="Times New Roman" w:hAnsi="Arial" w:cs="Arial"/>
          <w:color w:val="212529"/>
          <w:sz w:val="24"/>
          <w:szCs w:val="24"/>
          <w:lang w:val="es-UY" w:eastAsia="es-UY"/>
        </w:rPr>
        <w:t>Sicsal</w:t>
      </w:r>
      <w:proofErr w:type="spellEnd"/>
      <w:r w:rsidRPr="00D35EF1">
        <w:rPr>
          <w:rFonts w:ascii="Arial" w:eastAsia="Times New Roman" w:hAnsi="Arial" w:cs="Arial"/>
          <w:color w:val="212529"/>
          <w:sz w:val="24"/>
          <w:szCs w:val="24"/>
          <w:lang w:val="es-UY" w:eastAsia="es-UY"/>
        </w:rPr>
        <w:t xml:space="preserve"> Cono Sur emitió un comunicado sobre el proceso electoral en Colombia</w:t>
      </w:r>
    </w:p>
    <w:p w14:paraId="5661FA17" w14:textId="032C7A65" w:rsidR="00D35EF1" w:rsidRPr="00D35EF1" w:rsidRDefault="00D35EF1" w:rsidP="00D35EF1">
      <w:pPr>
        <w:shd w:val="clear" w:color="auto" w:fill="FFFFFF"/>
        <w:spacing w:after="100" w:afterAutospacing="1" w:line="240" w:lineRule="auto"/>
        <w:jc w:val="center"/>
        <w:rPr>
          <w:rFonts w:ascii="Arial" w:eastAsia="Times New Roman" w:hAnsi="Arial" w:cs="Arial"/>
          <w:color w:val="212529"/>
          <w:sz w:val="24"/>
          <w:szCs w:val="24"/>
          <w:lang w:val="es-UY" w:eastAsia="es-UY"/>
        </w:rPr>
      </w:pPr>
      <w:r w:rsidRPr="00D35EF1">
        <w:rPr>
          <w:rFonts w:ascii="Arial" w:eastAsia="Times New Roman" w:hAnsi="Arial" w:cs="Arial"/>
          <w:b/>
          <w:bCs/>
          <w:color w:val="212529"/>
          <w:sz w:val="24"/>
          <w:szCs w:val="24"/>
          <w:lang w:val="es-UY" w:eastAsia="es-UY"/>
        </w:rPr>
        <w:t>O EL PAIS CAMBIA O ESTALLA</w:t>
      </w:r>
    </w:p>
    <w:p w14:paraId="07C41DD3"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1.- El 9 de abril de 1948 fue asesinado el líder popular liberal de izquierda y seguro próximo Presidente de Colombia, Eliécer Gaitán.  Su asesinato desató el "bogotazo", una guerra al interior de la oligarquía y que culminó en 1957 con  el Frente Nacional, esto es, un acuerdo liberal-conservador para rotarse en el poder y que duró hasta 1970, dejando unos 300 mil muertos.  En ese contexto se originaron las FARC, que fuera refugio de campesinos desplazados por la violencia.</w:t>
      </w:r>
    </w:p>
    <w:p w14:paraId="09B8D67C"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El 28 de mayo de 1984, las FARC firmó acuerdos de cese al fuego con el gobierno de Belisario Betancourt.  Luego vino el desenlace de la Unión Patriótica formada por guerrilleros desmovilizados y otras agrupaciones políticas de izquierda, siendo</w:t>
      </w:r>
    </w:p>
    <w:p w14:paraId="13091AAE"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asesinados más de 5.000 dirigentes y militantes.  Este exterminio ha sido uno de los tantos genocidios de la historia  política colombiana. </w:t>
      </w:r>
    </w:p>
    <w:p w14:paraId="5F515190"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En 1999, las FARC-EP con presencia en el 90% de los municipios del país, comenzó un proceso de diálogo con el gobierno de  Andrés Pastrana.  El 29 de febrero de 2002, mediante la operación militar "</w:t>
      </w:r>
      <w:proofErr w:type="spellStart"/>
      <w:r w:rsidRPr="00D35EF1">
        <w:rPr>
          <w:rFonts w:ascii="Arial" w:eastAsia="Times New Roman" w:hAnsi="Arial" w:cs="Arial"/>
          <w:color w:val="212529"/>
          <w:sz w:val="24"/>
          <w:szCs w:val="24"/>
          <w:lang w:val="es-UY" w:eastAsia="es-UY"/>
        </w:rPr>
        <w:t>Thánatos</w:t>
      </w:r>
      <w:proofErr w:type="spellEnd"/>
      <w:r w:rsidRPr="00D35EF1">
        <w:rPr>
          <w:rFonts w:ascii="Arial" w:eastAsia="Times New Roman" w:hAnsi="Arial" w:cs="Arial"/>
          <w:color w:val="212529"/>
          <w:sz w:val="24"/>
          <w:szCs w:val="24"/>
          <w:lang w:val="es-UY" w:eastAsia="es-UY"/>
        </w:rPr>
        <w:t xml:space="preserve">", el gobierno terminó </w:t>
      </w:r>
      <w:r w:rsidRPr="00D35EF1">
        <w:rPr>
          <w:rFonts w:ascii="Arial" w:eastAsia="Times New Roman" w:hAnsi="Arial" w:cs="Arial"/>
          <w:color w:val="212529"/>
          <w:sz w:val="24"/>
          <w:szCs w:val="24"/>
          <w:lang w:val="es-UY" w:eastAsia="es-UY"/>
        </w:rPr>
        <w:lastRenderedPageBreak/>
        <w:t xml:space="preserve">con los diálogos.  Luego vino el gobierno de </w:t>
      </w:r>
      <w:proofErr w:type="spellStart"/>
      <w:r w:rsidRPr="00D35EF1">
        <w:rPr>
          <w:rFonts w:ascii="Arial" w:eastAsia="Times New Roman" w:hAnsi="Arial" w:cs="Arial"/>
          <w:color w:val="212529"/>
          <w:sz w:val="24"/>
          <w:szCs w:val="24"/>
          <w:lang w:val="es-UY" w:eastAsia="es-UY"/>
        </w:rPr>
        <w:t>Alvaro</w:t>
      </w:r>
      <w:proofErr w:type="spellEnd"/>
      <w:r w:rsidRPr="00D35EF1">
        <w:rPr>
          <w:rFonts w:ascii="Arial" w:eastAsia="Times New Roman" w:hAnsi="Arial" w:cs="Arial"/>
          <w:color w:val="212529"/>
          <w:sz w:val="24"/>
          <w:szCs w:val="24"/>
          <w:lang w:val="es-UY" w:eastAsia="es-UY"/>
        </w:rPr>
        <w:t xml:space="preserve"> Uribe, cuya influencia está llegando a su fin.  La  elección presidencial en segunda vuelta, con el candidato demócrata Gustavo Petro será el domingo 19 de junio.</w:t>
      </w:r>
    </w:p>
    <w:p w14:paraId="4DB2DEAC"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w:t>
      </w:r>
    </w:p>
    <w:p w14:paraId="621552C2"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2.- Los gobiernos de Uribe, Santos y Duque desvirtuaron los Acuerdos de Paz.  Colombia ha seguido viviendo una situación de violencia: desplazamientos de poblaciones, masacres, asesinatos selectivos de líderes sociales y de defensores de derechos humanos y del medioambiente.  Además de las fuerzas represivas de la policía y de las fuerzas armadas, existen zonas controladas por paramilitares.  A estos se suman las disputas entre bandas, la corrupción de los poderes del Estado con el consecuente temor de la población a hablar y a manifestarse.</w:t>
      </w:r>
    </w:p>
    <w:p w14:paraId="6714DA5B"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w:t>
      </w:r>
    </w:p>
    <w:p w14:paraId="2609B4E5"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xml:space="preserve">3.- Según la Asociación de Comunidades Construyendo Paz en Colombia (CONPAZCOL), desde la firma de los Acuerdos de Paz han sido asesinados 1.231 </w:t>
      </w:r>
      <w:proofErr w:type="gramStart"/>
      <w:r w:rsidRPr="00D35EF1">
        <w:rPr>
          <w:rFonts w:ascii="Arial" w:eastAsia="Times New Roman" w:hAnsi="Arial" w:cs="Arial"/>
          <w:color w:val="212529"/>
          <w:sz w:val="24"/>
          <w:szCs w:val="24"/>
          <w:lang w:val="es-UY" w:eastAsia="es-UY"/>
        </w:rPr>
        <w:t>ex guerrilleros</w:t>
      </w:r>
      <w:proofErr w:type="gramEnd"/>
      <w:r w:rsidRPr="00D35EF1">
        <w:rPr>
          <w:rFonts w:ascii="Arial" w:eastAsia="Times New Roman" w:hAnsi="Arial" w:cs="Arial"/>
          <w:color w:val="212529"/>
          <w:sz w:val="24"/>
          <w:szCs w:val="24"/>
          <w:lang w:val="es-UY" w:eastAsia="es-UY"/>
        </w:rPr>
        <w:t xml:space="preserve">  y más de 600 líderes medioambientales.  De estos, 332 de poblaciones indígenas; 75 afrodescendientes; 102 campesinos; 25 ecologistas; 75 integrantes de juntas de Acción Comunal.  Hay 152 conflictos medioambientales por megaproyectos </w:t>
      </w:r>
      <w:proofErr w:type="spellStart"/>
      <w:r w:rsidRPr="00D35EF1">
        <w:rPr>
          <w:rFonts w:ascii="Arial" w:eastAsia="Times New Roman" w:hAnsi="Arial" w:cs="Arial"/>
          <w:color w:val="212529"/>
          <w:sz w:val="24"/>
          <w:szCs w:val="24"/>
          <w:lang w:val="es-UY" w:eastAsia="es-UY"/>
        </w:rPr>
        <w:t>mineroenergéticos</w:t>
      </w:r>
      <w:proofErr w:type="spellEnd"/>
      <w:r w:rsidRPr="00D35EF1">
        <w:rPr>
          <w:rFonts w:ascii="Arial" w:eastAsia="Times New Roman" w:hAnsi="Arial" w:cs="Arial"/>
          <w:color w:val="212529"/>
          <w:sz w:val="24"/>
          <w:szCs w:val="24"/>
          <w:lang w:val="es-UY" w:eastAsia="es-UY"/>
        </w:rPr>
        <w:t>, agroindustriales y de infraestructura que van en contra de los intereses de comunidades indígenas.  Sólo en 2020 hubo 91 masacres que dejaron 380 asesinados. Por su parte, INDEPAZ ha contabilizado a 88 líderes sociales asesinados sólo en lo que va corrido del 2022.  La entidad también señala que entre el 7 de agosto de 2018 y el 4 de junio de 2022 han sido asesinados 930 líderes sociales  y de derechos humanos, de los cuales 128 son mujeres.</w:t>
      </w:r>
    </w:p>
    <w:p w14:paraId="5D6D74E1"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w:t>
      </w:r>
    </w:p>
    <w:p w14:paraId="4B29C4B6"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4.- De acuerdo a afirmaciones del profesor Renán Vega Cantor, Colombia es uno de los países más desiguales del mundo, lo que es causa de la violencia estructural y de una guerra que no ha terminado nunca.  Esto explicaría que el proceso de paz ha sido un "estruendoso fracaso".  La Jurisdicción Especial para la Paz (JEP) ha sido más bien un tribunal para juzgar a las FARC y no al Estado.  No obstante la impunidad de la aparición de 6.400 "falsos positivos", las Fuerzas Armadas no hablan de un acuerdo de paz, sino de rendición.</w:t>
      </w:r>
    </w:p>
    <w:p w14:paraId="1C6C6651"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w:t>
      </w:r>
    </w:p>
    <w:p w14:paraId="059DEFFF"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5.- Es por lo anterior que el Paro Nacional de abril de 2021 ha constituido la más extraordinaria movilización en la historia de Colombia.  Sin embargo, es indispensable realizar un esfuerzo por democratizar y descentralizar el ejercicio de la comunicación.</w:t>
      </w:r>
    </w:p>
    <w:p w14:paraId="170CB074"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xml:space="preserve">De no ser así, el país continuará prisionero del poder económico.  Datos de Reporteros sin Fronteras indican que "los ocho grupos mediáticos más grandes concentran el 78% de la audiencia transversal, lo que significa que casi cuatro de cinco colombianos reciben sus informaciones  por medios de estos grupos".  Estos están en íntima conexión con el modelo socioeconómico </w:t>
      </w:r>
      <w:proofErr w:type="gramStart"/>
      <w:r w:rsidRPr="00D35EF1">
        <w:rPr>
          <w:rFonts w:ascii="Arial" w:eastAsia="Times New Roman" w:hAnsi="Arial" w:cs="Arial"/>
          <w:color w:val="212529"/>
          <w:sz w:val="24"/>
          <w:szCs w:val="24"/>
          <w:lang w:val="es-UY" w:eastAsia="es-UY"/>
        </w:rPr>
        <w:t>pro empresarial</w:t>
      </w:r>
      <w:proofErr w:type="gramEnd"/>
      <w:r w:rsidRPr="00D35EF1">
        <w:rPr>
          <w:rFonts w:ascii="Arial" w:eastAsia="Times New Roman" w:hAnsi="Arial" w:cs="Arial"/>
          <w:color w:val="212529"/>
          <w:sz w:val="24"/>
          <w:szCs w:val="24"/>
          <w:lang w:val="es-UY" w:eastAsia="es-UY"/>
        </w:rPr>
        <w:t xml:space="preserve"> vigente en Colombia.</w:t>
      </w:r>
    </w:p>
    <w:p w14:paraId="5CDA0910"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w:t>
      </w:r>
    </w:p>
    <w:p w14:paraId="339A8A1F"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xml:space="preserve">6.- La situación descrita en el punto anterior se debe a la asistencia, entrenamiento, envío o venta de equipamiento policial y militar a las Fuerzas de Seguridad de Colombia de parte de USA y de la Unión Europea.  Un promedio de 500 integrantes de las Fuerzas de Seguridad colombianas, anualmente, reciben entrenamiento en WHINSEC, USA, o en la misma Colombia donde viajan instructores estadounidenses, siguiendo información proporcionada por SOA </w:t>
      </w:r>
      <w:proofErr w:type="spellStart"/>
      <w:r w:rsidRPr="00D35EF1">
        <w:rPr>
          <w:rFonts w:ascii="Arial" w:eastAsia="Times New Roman" w:hAnsi="Arial" w:cs="Arial"/>
          <w:color w:val="212529"/>
          <w:sz w:val="24"/>
          <w:szCs w:val="24"/>
          <w:lang w:val="es-UY" w:eastAsia="es-UY"/>
        </w:rPr>
        <w:t>Watch</w:t>
      </w:r>
      <w:proofErr w:type="spellEnd"/>
      <w:r w:rsidRPr="00D35EF1">
        <w:rPr>
          <w:rFonts w:ascii="Arial" w:eastAsia="Times New Roman" w:hAnsi="Arial" w:cs="Arial"/>
          <w:color w:val="212529"/>
          <w:sz w:val="24"/>
          <w:szCs w:val="24"/>
          <w:lang w:val="es-UY" w:eastAsia="es-UY"/>
        </w:rPr>
        <w:t>.  Se ha sumado Amnistía Internacional señalando que "USA</w:t>
      </w:r>
    </w:p>
    <w:p w14:paraId="4AB1A2E6"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debe dejar de proveer armas empleadas para reprimir protestas en Colombia".  Por su parte, 55 congresistas de USA han expresado "su grave preocupación por la situación política y de derechos humanos en Colombia" y han instado al gobierno de USA a "denunciar clara e inequívocamente la brutalidad policial en Colombia".</w:t>
      </w:r>
    </w:p>
    <w:p w14:paraId="1BC33104"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w:t>
      </w:r>
    </w:p>
    <w:p w14:paraId="611735F9" w14:textId="10FA007E"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7.- Por todo lo antes descrito y mucho más, la racionalidad y la solidaridad humana exigen que la elección de Gustavo Petro pueda ser realidad para dar paso a la paz como fruto de la justicia.  Emulando al inolvidable Gabo, "frente a la opresión, el saqueo y el abandono, nuestra respuesta es la vida.  Ni los diluvios ni las pestes, ni las hambrunas ni los cataclismos, ni siquiera las guerras eternas a través de los siglos y los siglos han conseguido reducir la ventaja tenaz de la vida sobre la muerte"</w:t>
      </w:r>
    </w:p>
    <w:p w14:paraId="527E7BC8"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w:t>
      </w:r>
    </w:p>
    <w:p w14:paraId="595F77D4"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SICSAL-Cono Sur.</w:t>
      </w:r>
    </w:p>
    <w:p w14:paraId="3E84E77E"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w:t>
      </w:r>
    </w:p>
    <w:p w14:paraId="0BB1A0B2"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xml:space="preserve">Rufino Arce – </w:t>
      </w:r>
      <w:proofErr w:type="spellStart"/>
      <w:r w:rsidRPr="00D35EF1">
        <w:rPr>
          <w:rFonts w:ascii="Arial" w:eastAsia="Times New Roman" w:hAnsi="Arial" w:cs="Arial"/>
          <w:color w:val="212529"/>
          <w:sz w:val="24"/>
          <w:szCs w:val="24"/>
          <w:lang w:val="es-UY" w:eastAsia="es-UY"/>
        </w:rPr>
        <w:t>Hervi</w:t>
      </w:r>
      <w:proofErr w:type="spellEnd"/>
      <w:r w:rsidRPr="00D35EF1">
        <w:rPr>
          <w:rFonts w:ascii="Arial" w:eastAsia="Times New Roman" w:hAnsi="Arial" w:cs="Arial"/>
          <w:color w:val="212529"/>
          <w:sz w:val="24"/>
          <w:szCs w:val="24"/>
          <w:lang w:val="es-UY" w:eastAsia="es-UY"/>
        </w:rPr>
        <w:t xml:space="preserve"> Lara Bravo – José </w:t>
      </w:r>
      <w:proofErr w:type="spellStart"/>
      <w:r w:rsidRPr="00D35EF1">
        <w:rPr>
          <w:rFonts w:ascii="Arial" w:eastAsia="Times New Roman" w:hAnsi="Arial" w:cs="Arial"/>
          <w:color w:val="212529"/>
          <w:sz w:val="24"/>
          <w:szCs w:val="24"/>
          <w:lang w:val="es-UY" w:eastAsia="es-UY"/>
        </w:rPr>
        <w:t>Frias</w:t>
      </w:r>
      <w:proofErr w:type="spellEnd"/>
      <w:r w:rsidRPr="00D35EF1">
        <w:rPr>
          <w:rFonts w:ascii="Arial" w:eastAsia="Times New Roman" w:hAnsi="Arial" w:cs="Arial"/>
          <w:color w:val="212529"/>
          <w:sz w:val="24"/>
          <w:szCs w:val="24"/>
          <w:lang w:val="es-UY" w:eastAsia="es-UY"/>
        </w:rPr>
        <w:t xml:space="preserve">: </w:t>
      </w:r>
      <w:proofErr w:type="spellStart"/>
      <w:r w:rsidRPr="00D35EF1">
        <w:rPr>
          <w:rFonts w:ascii="Arial" w:eastAsia="Times New Roman" w:hAnsi="Arial" w:cs="Arial"/>
          <w:color w:val="212529"/>
          <w:sz w:val="24"/>
          <w:szCs w:val="24"/>
          <w:lang w:val="es-UY" w:eastAsia="es-UY"/>
        </w:rPr>
        <w:t>Sicsal</w:t>
      </w:r>
      <w:proofErr w:type="spellEnd"/>
      <w:r w:rsidRPr="00D35EF1">
        <w:rPr>
          <w:rFonts w:ascii="Arial" w:eastAsia="Times New Roman" w:hAnsi="Arial" w:cs="Arial"/>
          <w:color w:val="212529"/>
          <w:sz w:val="24"/>
          <w:szCs w:val="24"/>
          <w:lang w:val="es-UY" w:eastAsia="es-UY"/>
        </w:rPr>
        <w:t xml:space="preserve"> Chile</w:t>
      </w:r>
    </w:p>
    <w:p w14:paraId="386E90ED"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xml:space="preserve">Teresa </w:t>
      </w:r>
      <w:proofErr w:type="spellStart"/>
      <w:r w:rsidRPr="00D35EF1">
        <w:rPr>
          <w:rFonts w:ascii="Arial" w:eastAsia="Times New Roman" w:hAnsi="Arial" w:cs="Arial"/>
          <w:color w:val="212529"/>
          <w:sz w:val="24"/>
          <w:szCs w:val="24"/>
          <w:lang w:val="es-UY" w:eastAsia="es-UY"/>
        </w:rPr>
        <w:t>Subieta</w:t>
      </w:r>
      <w:proofErr w:type="spellEnd"/>
      <w:r w:rsidRPr="00D35EF1">
        <w:rPr>
          <w:rFonts w:ascii="Arial" w:eastAsia="Times New Roman" w:hAnsi="Arial" w:cs="Arial"/>
          <w:color w:val="212529"/>
          <w:sz w:val="24"/>
          <w:szCs w:val="24"/>
          <w:lang w:val="es-UY" w:eastAsia="es-UY"/>
        </w:rPr>
        <w:t xml:space="preserve">- Marcela Matías: </w:t>
      </w:r>
      <w:proofErr w:type="spellStart"/>
      <w:r w:rsidRPr="00D35EF1">
        <w:rPr>
          <w:rFonts w:ascii="Arial" w:eastAsia="Times New Roman" w:hAnsi="Arial" w:cs="Arial"/>
          <w:color w:val="212529"/>
          <w:sz w:val="24"/>
          <w:szCs w:val="24"/>
          <w:lang w:val="es-UY" w:eastAsia="es-UY"/>
        </w:rPr>
        <w:t>Sicsal</w:t>
      </w:r>
      <w:proofErr w:type="spellEnd"/>
      <w:r w:rsidRPr="00D35EF1">
        <w:rPr>
          <w:rFonts w:ascii="Arial" w:eastAsia="Times New Roman" w:hAnsi="Arial" w:cs="Arial"/>
          <w:color w:val="212529"/>
          <w:sz w:val="24"/>
          <w:szCs w:val="24"/>
          <w:lang w:val="es-UY" w:eastAsia="es-UY"/>
        </w:rPr>
        <w:t xml:space="preserve"> “Luis Espinal” Bolivia</w:t>
      </w:r>
    </w:p>
    <w:p w14:paraId="04BA99C9"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xml:space="preserve">Carlos Alejos – Luis Javier Angulo Talavera: </w:t>
      </w:r>
      <w:proofErr w:type="spellStart"/>
      <w:r w:rsidRPr="00D35EF1">
        <w:rPr>
          <w:rFonts w:ascii="Arial" w:eastAsia="Times New Roman" w:hAnsi="Arial" w:cs="Arial"/>
          <w:color w:val="212529"/>
          <w:sz w:val="24"/>
          <w:szCs w:val="24"/>
          <w:lang w:val="es-UY" w:eastAsia="es-UY"/>
        </w:rPr>
        <w:t>Sicsal</w:t>
      </w:r>
      <w:proofErr w:type="spellEnd"/>
      <w:r w:rsidRPr="00D35EF1">
        <w:rPr>
          <w:rFonts w:ascii="Arial" w:eastAsia="Times New Roman" w:hAnsi="Arial" w:cs="Arial"/>
          <w:color w:val="212529"/>
          <w:sz w:val="24"/>
          <w:szCs w:val="24"/>
          <w:lang w:val="es-UY" w:eastAsia="es-UY"/>
        </w:rPr>
        <w:t xml:space="preserve"> Perú</w:t>
      </w:r>
    </w:p>
    <w:p w14:paraId="05AA64A7"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xml:space="preserve">Daniel Benítez: </w:t>
      </w:r>
      <w:proofErr w:type="spellStart"/>
      <w:r w:rsidRPr="00D35EF1">
        <w:rPr>
          <w:rFonts w:ascii="Arial" w:eastAsia="Times New Roman" w:hAnsi="Arial" w:cs="Arial"/>
          <w:color w:val="212529"/>
          <w:sz w:val="24"/>
          <w:szCs w:val="24"/>
          <w:lang w:val="es-UY" w:eastAsia="es-UY"/>
        </w:rPr>
        <w:t>Sicsal</w:t>
      </w:r>
      <w:proofErr w:type="spellEnd"/>
      <w:r w:rsidRPr="00D35EF1">
        <w:rPr>
          <w:rFonts w:ascii="Arial" w:eastAsia="Times New Roman" w:hAnsi="Arial" w:cs="Arial"/>
          <w:color w:val="212529"/>
          <w:sz w:val="24"/>
          <w:szCs w:val="24"/>
          <w:lang w:val="es-UY" w:eastAsia="es-UY"/>
        </w:rPr>
        <w:t xml:space="preserve"> Argentina</w:t>
      </w:r>
    </w:p>
    <w:p w14:paraId="74E409B8"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xml:space="preserve">Gerardo Dure coordinador </w:t>
      </w:r>
      <w:proofErr w:type="spellStart"/>
      <w:r w:rsidRPr="00D35EF1">
        <w:rPr>
          <w:rFonts w:ascii="Arial" w:eastAsia="Times New Roman" w:hAnsi="Arial" w:cs="Arial"/>
          <w:color w:val="212529"/>
          <w:sz w:val="24"/>
          <w:szCs w:val="24"/>
          <w:lang w:val="es-UY" w:eastAsia="es-UY"/>
        </w:rPr>
        <w:t>Sicsal</w:t>
      </w:r>
      <w:proofErr w:type="spellEnd"/>
      <w:r w:rsidRPr="00D35EF1">
        <w:rPr>
          <w:rFonts w:ascii="Arial" w:eastAsia="Times New Roman" w:hAnsi="Arial" w:cs="Arial"/>
          <w:color w:val="212529"/>
          <w:sz w:val="24"/>
          <w:szCs w:val="24"/>
          <w:lang w:val="es-UY" w:eastAsia="es-UY"/>
        </w:rPr>
        <w:t xml:space="preserve"> Cono Sur (</w:t>
      </w:r>
      <w:proofErr w:type="spellStart"/>
      <w:r w:rsidRPr="00D35EF1">
        <w:rPr>
          <w:rFonts w:ascii="Arial" w:eastAsia="Times New Roman" w:hAnsi="Arial" w:cs="Arial"/>
          <w:color w:val="212529"/>
          <w:sz w:val="24"/>
          <w:szCs w:val="24"/>
          <w:lang w:val="es-UY" w:eastAsia="es-UY"/>
        </w:rPr>
        <w:t>Sicsal</w:t>
      </w:r>
      <w:proofErr w:type="spellEnd"/>
      <w:r w:rsidRPr="00D35EF1">
        <w:rPr>
          <w:rFonts w:ascii="Arial" w:eastAsia="Times New Roman" w:hAnsi="Arial" w:cs="Arial"/>
          <w:color w:val="212529"/>
          <w:sz w:val="24"/>
          <w:szCs w:val="24"/>
          <w:lang w:val="es-UY" w:eastAsia="es-UY"/>
        </w:rPr>
        <w:t xml:space="preserve"> Argentina)</w:t>
      </w:r>
    </w:p>
    <w:p w14:paraId="6B55DABE"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w:t>
      </w:r>
    </w:p>
    <w:p w14:paraId="57B59173"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 </w:t>
      </w:r>
    </w:p>
    <w:p w14:paraId="6B99CE4E" w14:textId="77777777" w:rsidR="00D35EF1" w:rsidRPr="00D35EF1" w:rsidRDefault="00D35EF1" w:rsidP="00D35EF1">
      <w:pPr>
        <w:shd w:val="clear" w:color="auto" w:fill="FFFFFF"/>
        <w:spacing w:after="100" w:afterAutospacing="1" w:line="240" w:lineRule="auto"/>
        <w:rPr>
          <w:rFonts w:ascii="Arial" w:eastAsia="Times New Roman" w:hAnsi="Arial" w:cs="Arial"/>
          <w:color w:val="212529"/>
          <w:sz w:val="24"/>
          <w:szCs w:val="24"/>
          <w:lang w:val="es-UY" w:eastAsia="es-UY"/>
        </w:rPr>
      </w:pPr>
      <w:r w:rsidRPr="00D35EF1">
        <w:rPr>
          <w:rFonts w:ascii="Arial" w:eastAsia="Times New Roman" w:hAnsi="Arial" w:cs="Arial"/>
          <w:color w:val="212529"/>
          <w:sz w:val="24"/>
          <w:szCs w:val="24"/>
          <w:lang w:val="es-UY" w:eastAsia="es-UY"/>
        </w:rPr>
        <w:t>17 de junio de 2022.</w:t>
      </w:r>
    </w:p>
    <w:p w14:paraId="48990AC0" w14:textId="12BCD759" w:rsidR="002E2F5B" w:rsidRDefault="00D35EF1">
      <w:hyperlink r:id="rId5" w:history="1">
        <w:r w:rsidRPr="008808A2">
          <w:rPr>
            <w:rStyle w:val="Hipervnculo"/>
          </w:rPr>
          <w:t>https://entrepueblosradio.com.ar/nota/739/declaracion-de-la-regin-sicsal-cono-sur</w:t>
        </w:r>
      </w:hyperlink>
    </w:p>
    <w:p w14:paraId="7A27237B" w14:textId="77777777" w:rsidR="00D35EF1" w:rsidRDefault="00D35EF1"/>
    <w:sectPr w:rsidR="00D35E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F1"/>
    <w:rsid w:val="002E2F5B"/>
    <w:rsid w:val="00D35EF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B356"/>
  <w15:chartTrackingRefBased/>
  <w15:docId w15:val="{9B944D06-E7F5-46ED-84A0-7CA89355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35EF1"/>
    <w:rPr>
      <w:color w:val="0563C1" w:themeColor="hyperlink"/>
      <w:u w:val="single"/>
    </w:rPr>
  </w:style>
  <w:style w:type="character" w:styleId="Mencinsinresolver">
    <w:name w:val="Unresolved Mention"/>
    <w:basedOn w:val="Fuentedeprrafopredeter"/>
    <w:uiPriority w:val="99"/>
    <w:semiHidden/>
    <w:unhideWhenUsed/>
    <w:rsid w:val="00D35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037983">
      <w:bodyDiv w:val="1"/>
      <w:marLeft w:val="0"/>
      <w:marRight w:val="0"/>
      <w:marTop w:val="0"/>
      <w:marBottom w:val="0"/>
      <w:divBdr>
        <w:top w:val="none" w:sz="0" w:space="0" w:color="auto"/>
        <w:left w:val="none" w:sz="0" w:space="0" w:color="auto"/>
        <w:bottom w:val="none" w:sz="0" w:space="0" w:color="auto"/>
        <w:right w:val="none" w:sz="0" w:space="0" w:color="auto"/>
      </w:divBdr>
      <w:divsChild>
        <w:div w:id="1615861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trepueblosradio.com.ar/nota/739/declaracion-de-la-regin-sicsal-cono-sur"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915</Words>
  <Characters>5036</Characters>
  <Application>Microsoft Office Word</Application>
  <DocSecurity>0</DocSecurity>
  <Lines>41</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2022-06-23T14:05:00Z</dcterms:created>
  <dcterms:modified xsi:type="dcterms:W3CDTF">2022-06-23T14:06:00Z</dcterms:modified>
</cp:coreProperties>
</file>