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9127" w14:textId="77777777" w:rsidR="002D0553" w:rsidRPr="002D0553" w:rsidRDefault="002D0553" w:rsidP="00017825">
      <w:pPr>
        <w:shd w:val="clear" w:color="auto" w:fill="FFFFFF"/>
        <w:spacing w:after="165" w:line="810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66"/>
          <w:szCs w:val="66"/>
          <w:lang w:val="es-UY" w:eastAsia="es-UY"/>
        </w:rPr>
      </w:pPr>
      <w:r w:rsidRPr="002D0553">
        <w:rPr>
          <w:rFonts w:ascii="Arial" w:eastAsia="Times New Roman" w:hAnsi="Arial" w:cs="Arial"/>
          <w:b/>
          <w:bCs/>
          <w:color w:val="111111"/>
          <w:kern w:val="36"/>
          <w:sz w:val="66"/>
          <w:szCs w:val="66"/>
          <w:lang w:val="es-UY" w:eastAsia="es-UY"/>
        </w:rPr>
        <w:t>La revolución de la Iglesia en Alemania</w:t>
      </w:r>
    </w:p>
    <w:p w14:paraId="5476338C" w14:textId="77777777" w:rsidR="002D0553" w:rsidRPr="002D0553" w:rsidRDefault="002D0553" w:rsidP="002D0553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escrito por</w:t>
      </w:r>
    </w:p>
    <w:p w14:paraId="55A46C68" w14:textId="77777777" w:rsidR="002D0553" w:rsidRPr="002D0553" w:rsidRDefault="002D0553" w:rsidP="002D0553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</w:t>
      </w:r>
      <w:hyperlink r:id="rId5" w:history="1">
        <w:r w:rsidRPr="002D0553">
          <w:rPr>
            <w:rFonts w:ascii="Merriweather" w:eastAsia="Times New Roman" w:hAnsi="Merriweather" w:cs="Times New Roman"/>
            <w:b/>
            <w:bCs/>
            <w:color w:val="000000"/>
            <w:sz w:val="17"/>
            <w:szCs w:val="17"/>
            <w:u w:val="single"/>
            <w:lang w:val="es-UY" w:eastAsia="es-UY"/>
          </w:rPr>
          <w:t>Jesús Martínez Gordo</w:t>
        </w:r>
      </w:hyperlink>
    </w:p>
    <w:p w14:paraId="1FDFB6DD" w14:textId="77777777" w:rsidR="002D0553" w:rsidRPr="002D0553" w:rsidRDefault="002D0553" w:rsidP="002D0553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-</w:t>
      </w:r>
    </w:p>
    <w:p w14:paraId="6476F108" w14:textId="77777777" w:rsidR="002D0553" w:rsidRPr="002D0553" w:rsidRDefault="002D0553" w:rsidP="002D0553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17"/>
          <w:szCs w:val="17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767676"/>
          <w:sz w:val="17"/>
          <w:szCs w:val="17"/>
          <w:lang w:val="es-UY" w:eastAsia="es-UY"/>
        </w:rPr>
        <w:t>18 Mayo 2022</w:t>
      </w:r>
    </w:p>
    <w:p w14:paraId="0A63CC20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Para algunos </w:t>
      </w:r>
      <w:proofErr w:type="spellStart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curialistas</w:t>
      </w:r>
      <w:proofErr w:type="spellEnd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 vaticanos, los obispos y católicos alemanes -habiendo puesto en marcha conjuntamente un “Camino Sinodal vinculante”- estarían aprovechándose del llamado Informe MHG sobre la pederastia eclesial y, a la vez, rompiendo con el modelo de Iglesia que -durante siglos- ha venido siendo tradicional, así como arriesgando su unidad con las cerca de 6.000 diócesis dispersas por el mundo. Para otros, menos temerosos, es cierto que </w:t>
      </w:r>
      <w:r w:rsidRPr="002D0553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UY" w:eastAsia="es-UY"/>
        </w:rPr>
        <w:t>en dicho “Camino Sinodal vinculante” se están debatiendo, votando y aprobando importantes propuestas</w:t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que, de hecho, suponen una redefinición del sacerdocio; de la </w:t>
      </w:r>
      <w:hyperlink r:id="rId6" w:tgtFrame="_blank" w:history="1">
        <w:r w:rsidRPr="002D0553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presencia de la mujer en la Iglesia</w:t>
        </w:r>
      </w:hyperlink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; del poder y de su ejercicio en el seno de la institución y también de la moral sexual. Pero no peligra, de ninguna manera, la comunión de esta Iglesia, sencillamente porque tienen muy claro que hay resoluciones que -si son aprobadas- pueden ser implementadas en las respectivas diócesis o por la Conferencia Episcopal del país sin comprometer, para nada, dicha unidad. E, igualmente, que hay otras que, referidas, por ejemplo, al celibato opcional de los curas, a la homosexualidad o al </w:t>
      </w:r>
      <w:hyperlink r:id="rId7" w:tgtFrame="_blank" w:history="1">
        <w:r w:rsidRPr="002D0553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sacerdocio de las mujeres</w:t>
        </w:r>
      </w:hyperlink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han de ser debatidas y, si fuera el caso, votadas de nuevo en otro foro en el que se encuentren -al menos, representadas- todas las diócesis del mundo. Ello explica que los obispos alemanes se hayan comprometido a presentar y defender en el próximo Sínodo Mundial, a celebrar en Roma, durante el mes de octubre de 2023, estas u otras propuestas, en el caso de que sean admitidas por el “Camino Sinodal” que, previsiblemente, se clausurará el próximo mes de septiembre en Frankfurt.</w:t>
      </w:r>
    </w:p>
    <w:p w14:paraId="319A95DB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¿Qué ha pasado o está pasando en Alemania para que, cinco siglos después de la reforma </w:t>
      </w:r>
      <w:proofErr w:type="gramStart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luterana,</w:t>
      </w:r>
      <w:proofErr w:type="gramEnd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 vuelvan a sonar tambores en estas tierras, según unos, de una posible separación cismática y, según otros, de la ineludible e imperiosa superación de un modelo de Iglesia que, heredado del concilio de Trento (1545-1563), resulta irrelevante para la causa del Evangelio?</w:t>
      </w:r>
    </w:p>
    <w:p w14:paraId="1273CF2C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La respuesta es, por mucho que pueda disgustar a no pocos, el Informe que, encargado en 2014 por la Conferencia Episcopal Alemana a las universidades de Mannheim, Heidelberg y </w:t>
      </w:r>
      <w:proofErr w:type="spellStart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Giessen</w:t>
      </w:r>
      <w:proofErr w:type="spellEnd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 –y conocido como MHG, por las iniciales de tales universidades- tenía que investigar la implicación de sacerdotes, diáconos y religiosos varones en el </w:t>
      </w:r>
      <w:hyperlink r:id="rId8" w:tgtFrame="_blank" w:history="1">
        <w:r w:rsidRPr="002D0553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abuso sexual</w:t>
        </w:r>
      </w:hyperlink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 xml:space="preserve"> de menores de 1946 a 2014. Los obispos alemanes, encomendando esta investigación a un equipo externo, buscaban obtener una información, lo más veraz posible, sobre este lado oscuro de la Iglesia, tanto por el bien de los afectados como </w:t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lastRenderedPageBreak/>
        <w:t>para tomar -una vez detectados los errores cometidos- las decisiones que fueran necesarias y evitar que se repitieran dichos comportamientos. Los resultados son de sobra conocidos. En el Informe, publicado después de cuatro años de investigación, se identificaron a 1.670 </w:t>
      </w:r>
      <w:hyperlink r:id="rId9" w:tgtFrame="_blank" w:history="1">
        <w:r w:rsidRPr="002D0553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clérigos</w:t>
        </w:r>
      </w:hyperlink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abusadores sexuales de menores (el 4,4 % de todos los de ese período) y a 3.677 víctimas. </w:t>
      </w:r>
    </w:p>
    <w:p w14:paraId="7FDF91F0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Y, continuando con la tarea asignada, indicaron, como causas de tales delitos, en primer lugar, el clericalismo que, activado y facilitado por un “sistema jerárquico-autoritario”, lleva al dominio de los consagrados sobre los no consagrados y los sitúa en una posición de superioridad, siendo el abuso sexual una consecuencia extrema de ello. Una Iglesia con este perfil, se sostiene en el Informe, sanciona o traslada a los culpables y encubre u oculta los hechos, bloquea su divulgación y no tiene en cuenta a los menores abusados. Procediendo de esta manera, no solo estamos ante comportamientos equivocados de individuos aislados, sino ante un problema estructural y sistémico que urge atajar. </w:t>
      </w:r>
    </w:p>
    <w:p w14:paraId="3EEEA4EA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Y, en segundo lugar, la moral sexual, sobre todo, en lo referente a la homosexualidad y a la disciplina del celibato. Si bien es cierto, se puede leer, que ni la disciplina del celibato ni la homosexualidad son -a la luz de la investigación realizada- factores de riesgo de abuso sexual, también lo es que urge reconsiderar la postura, fundamentalmente adversa, de la Iglesia Católica ante la ordenación de hombres homosexuales y propiciar la creación de un ambiente abierto y tolerante, así como cuidar, mucho mejor que hasta el presente, la voluntariedad y madurez de quienes optan por llevar una vida célibe. </w:t>
      </w:r>
    </w:p>
    <w:p w14:paraId="6439813E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He aquí los datos y causas más importantes que, con una batería de recomendaciones, se encuentran  en el origen del llamado “Camino Sinodal vinculante” alemán, acordado en julio de 2019 por la Conferencia Episcopal Alemana y el Comité Central de los Católicos Alemanes e inaugurado el 1 de diciembre del mismo año. Desde entonces, se viene debatiendo y formulando propuestas sobre </w:t>
      </w:r>
      <w:r w:rsidRPr="002D0553">
        <w:rPr>
          <w:rFonts w:ascii="Merriweather" w:eastAsia="Times New Roman" w:hAnsi="Merriweather" w:cs="Times New Roman"/>
          <w:b/>
          <w:bCs/>
          <w:color w:val="222222"/>
          <w:sz w:val="23"/>
          <w:szCs w:val="23"/>
          <w:lang w:val="es-UY" w:eastAsia="es-UY"/>
        </w:rPr>
        <w:t>el desmantelamiento de las estructuras de poder y clericales de la Iglesia</w:t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; la participación equitativa de laicos y personas consagradas en su dirección; la abolición del celibato obligatorio o el acceso de las mujeres a todas las funciones eclesiásticas para colocarlas en igualdad de condiciones con los varones y un largo etcétera.</w:t>
      </w:r>
    </w:p>
    <w:p w14:paraId="0D20185E" w14:textId="77777777" w:rsidR="002D0553" w:rsidRPr="002D0553" w:rsidRDefault="002D0553" w:rsidP="00017825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¿Se imagina el lector un Informe y una respuesta parecida en la Iglesia española?</w:t>
      </w:r>
    </w:p>
    <w:p w14:paraId="235396C2" w14:textId="77777777" w:rsidR="002D0553" w:rsidRPr="002D0553" w:rsidRDefault="002D0553" w:rsidP="002D0553">
      <w:pPr>
        <w:spacing w:after="390" w:line="240" w:lineRule="auto"/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[Este artículo fue publicado anteriormente en El Diario Vasco/Imagen de </w:t>
      </w:r>
      <w:hyperlink r:id="rId10" w:tgtFrame="_blank" w:history="1">
        <w:r w:rsidRPr="002D0553">
          <w:rPr>
            <w:rFonts w:ascii="Merriweather" w:eastAsia="Times New Roman" w:hAnsi="Merriweather" w:cs="Times New Roman"/>
            <w:color w:val="D12027"/>
            <w:sz w:val="23"/>
            <w:szCs w:val="23"/>
            <w:u w:val="single"/>
            <w:lang w:val="es-UY" w:eastAsia="es-UY"/>
          </w:rPr>
          <w:t>Brigitte Werner</w:t>
        </w:r>
      </w:hyperlink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 en </w:t>
      </w:r>
      <w:proofErr w:type="spellStart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fldChar w:fldCharType="begin"/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instrText xml:space="preserve"> HYPERLINK "https://pixabay.com/es/?utm_source=link-attribution&amp;utm_medium=referral&amp;utm_campaign=image&amp;utm_content=205401" \t "_blank" </w:instrText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fldChar w:fldCharType="separate"/>
      </w:r>
      <w:r w:rsidRPr="002D0553">
        <w:rPr>
          <w:rFonts w:ascii="Merriweather" w:eastAsia="Times New Roman" w:hAnsi="Merriweather" w:cs="Times New Roman"/>
          <w:color w:val="D12027"/>
          <w:sz w:val="23"/>
          <w:szCs w:val="23"/>
          <w:u w:val="single"/>
          <w:lang w:val="es-UY" w:eastAsia="es-UY"/>
        </w:rPr>
        <w:t>Pixabay</w:t>
      </w:r>
      <w:proofErr w:type="spellEnd"/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fldChar w:fldCharType="end"/>
      </w:r>
      <w:r w:rsidRPr="002D0553">
        <w:rPr>
          <w:rFonts w:ascii="Merriweather" w:eastAsia="Times New Roman" w:hAnsi="Merriweather" w:cs="Times New Roman"/>
          <w:color w:val="222222"/>
          <w:sz w:val="23"/>
          <w:szCs w:val="23"/>
          <w:lang w:val="es-UY" w:eastAsia="es-UY"/>
        </w:rPr>
        <w:t>]</w:t>
      </w:r>
    </w:p>
    <w:p w14:paraId="61D5C061" w14:textId="77777777" w:rsidR="002D0553" w:rsidRPr="002D0553" w:rsidRDefault="002D0553" w:rsidP="002D0553">
      <w:pPr>
        <w:spacing w:after="0" w:line="240" w:lineRule="auto"/>
        <w:rPr>
          <w:rFonts w:ascii="Merriweather" w:eastAsia="Times New Roman" w:hAnsi="Merriweather" w:cs="Times New Roman"/>
          <w:color w:val="000000"/>
          <w:sz w:val="21"/>
          <w:szCs w:val="21"/>
          <w:lang w:val="es-UY" w:eastAsia="es-UY"/>
        </w:rPr>
      </w:pPr>
      <w:r w:rsidRPr="002D0553">
        <w:rPr>
          <w:rFonts w:ascii="Merriweather" w:eastAsia="Times New Roman" w:hAnsi="Merriweather" w:cs="Times New Roman"/>
          <w:noProof/>
          <w:color w:val="D12027"/>
          <w:sz w:val="21"/>
          <w:szCs w:val="21"/>
          <w:lang w:val="es-UY" w:eastAsia="es-UY"/>
        </w:rPr>
        <w:drawing>
          <wp:inline distT="0" distB="0" distL="0" distR="0" wp14:anchorId="237E6132" wp14:editId="42638305">
            <wp:extent cx="914400" cy="914400"/>
            <wp:effectExtent l="0" t="0" r="0" b="0"/>
            <wp:docPr id="1" name="Imagen 1" descr="Hombre con saco y sombrero&#10;&#10;Descripción generada automá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ombre con saco y sombrero&#10;&#10;Descripción generada automá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29BF" w14:textId="77777777" w:rsidR="002D0553" w:rsidRPr="002D0553" w:rsidRDefault="002D0553" w:rsidP="002D0553">
      <w:pPr>
        <w:spacing w:after="120" w:line="315" w:lineRule="atLeast"/>
        <w:rPr>
          <w:rFonts w:ascii="Merriweather" w:eastAsia="Times New Roman" w:hAnsi="Merriweather" w:cs="Times New Roman"/>
          <w:b/>
          <w:bCs/>
          <w:color w:val="000000"/>
          <w:sz w:val="23"/>
          <w:szCs w:val="23"/>
          <w:lang w:val="es-UY" w:eastAsia="es-UY"/>
        </w:rPr>
      </w:pPr>
      <w:hyperlink r:id="rId12" w:history="1">
        <w:r w:rsidRPr="002D0553">
          <w:rPr>
            <w:rFonts w:ascii="Merriweather" w:eastAsia="Times New Roman" w:hAnsi="Merriweather" w:cs="Times New Roman"/>
            <w:b/>
            <w:bCs/>
            <w:color w:val="222222"/>
            <w:sz w:val="23"/>
            <w:szCs w:val="23"/>
            <w:u w:val="single"/>
            <w:lang w:val="es-UY" w:eastAsia="es-UY"/>
          </w:rPr>
          <w:t>Jesús Martínez Gordo</w:t>
        </w:r>
      </w:hyperlink>
    </w:p>
    <w:p w14:paraId="65485C6D" w14:textId="77777777" w:rsidR="002D0553" w:rsidRPr="002D0553" w:rsidRDefault="002D0553" w:rsidP="002D0553">
      <w:pPr>
        <w:spacing w:line="240" w:lineRule="auto"/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</w:pPr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 xml:space="preserve">Sacerdote diocesano de Bilbao; catedrático emérito en la Facultad de Teología del Norte de España (Sede de Vitoria); miembro de </w:t>
      </w:r>
      <w:proofErr w:type="spellStart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>Cristianisme</w:t>
      </w:r>
      <w:proofErr w:type="spellEnd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 xml:space="preserve"> i Justicia (Barcelona); profesor invitado del Instituto Superior de Ciencias Religiosas Pío XII de San Sebastián y de la Pontificia Facultad Teológica de la Italia Meridional (sede </w:t>
      </w:r>
      <w:proofErr w:type="spellStart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>Capodimonte</w:t>
      </w:r>
      <w:proofErr w:type="spellEnd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 xml:space="preserve">), en Nápoles (Italia); auxiliar del equipo ministerial de la unidad pastoral de Basauri (Bizkaia). Algunas de sus publicaciones más recientes: “La cristología de Joseph Ratzinger-Benedicto XVI a la luz de su biografía teológica”, Barcelona, </w:t>
      </w:r>
      <w:proofErr w:type="spellStart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>Cristianisme</w:t>
      </w:r>
      <w:proofErr w:type="spellEnd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 xml:space="preserve"> i Justicia, 2008; “Cómo hablar hoy de conciencia y magisterio moral”, Bilbao, IDTP-DDB, 20102; “Verdad y revelación cristiana. La teología fundamental </w:t>
      </w:r>
      <w:proofErr w:type="spellStart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>veritativa</w:t>
      </w:r>
      <w:proofErr w:type="spellEnd"/>
      <w:r w:rsidRPr="002D0553">
        <w:rPr>
          <w:rFonts w:ascii="Merriweather" w:eastAsia="Times New Roman" w:hAnsi="Merriweather" w:cs="Times New Roman"/>
          <w:color w:val="000000"/>
          <w:sz w:val="18"/>
          <w:szCs w:val="18"/>
          <w:lang w:val="es-UY" w:eastAsia="es-UY"/>
        </w:rPr>
        <w:t xml:space="preserve"> en la modernidad”, Vitoria, ESET, 2011; “¿Es Dios una proyección?” Bilbao, IDTP-DDB, 2014; “La conversión del papado y la reforma de la Curia vaticana”, Madrid, PPC, 2014; “Estuve divorciado y me acogisteis”, Madrid, PPC, 2016; “Ateos y creyentes. Qué decimos cuando decimos Dios”, PPC, Madrid, 2019; “Entre el Tabor y el Calvario. Una espiritualidad ‘con carne’”, HOAC, Madrid, 2021.</w:t>
      </w:r>
    </w:p>
    <w:p w14:paraId="2CDA7A21" w14:textId="0F1A16EB" w:rsidR="002E2F5B" w:rsidRDefault="00017825">
      <w:hyperlink r:id="rId13" w:history="1">
        <w:r w:rsidRPr="007D1983">
          <w:rPr>
            <w:rStyle w:val="Hipervnculo"/>
          </w:rPr>
          <w:t>https://blog.cristianismeijusticia.net/2022/05/18/la-revolucion-de-la-iglesia-en-alemania</w:t>
        </w:r>
      </w:hyperlink>
    </w:p>
    <w:p w14:paraId="7D6107C6" w14:textId="77777777" w:rsidR="00017825" w:rsidRDefault="00017825"/>
    <w:sectPr w:rsidR="00017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428B"/>
    <w:multiLevelType w:val="multilevel"/>
    <w:tmpl w:val="2E9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76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3"/>
    <w:rsid w:val="00017825"/>
    <w:rsid w:val="002D0553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5CD8"/>
  <w15:chartTrackingRefBased/>
  <w15:docId w15:val="{FB5CCBE0-0BB2-46C3-A40D-B69964E9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78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19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4303">
                              <w:marLeft w:val="75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98095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831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962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78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43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9525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6" w:color="EDEDED"/>
                            <w:left w:val="single" w:sz="6" w:space="16" w:color="EDEDED"/>
                            <w:bottom w:val="single" w:sz="6" w:space="16" w:color="EDEDED"/>
                            <w:right w:val="single" w:sz="6" w:space="16" w:color="EDEDED"/>
                          </w:divBdr>
                          <w:divsChild>
                            <w:div w:id="1874733413">
                              <w:marLeft w:val="17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1711">
                                  <w:marLeft w:val="0"/>
                                  <w:marRight w:val="0"/>
                                  <w:marTop w:val="10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42917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ristianismeijusticia.net/2021/04/08/proteger-a-quien-apoya-a-las-victimas-avance-mundial-en-la-superacion-del-abuso-sexual-hacia-ninas-y-mujeres" TargetMode="External"/><Relationship Id="rId13" Type="http://schemas.openxmlformats.org/officeDocument/2006/relationships/hyperlink" Target="https://blog.cristianismeijusticia.net/2022/05/18/la-revolucion-de-la-iglesia-en-alem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cristianismeijusticia.net/2022/05/03/sinodalidad-y-desobediencia" TargetMode="External"/><Relationship Id="rId12" Type="http://schemas.openxmlformats.org/officeDocument/2006/relationships/hyperlink" Target="https://blog.cristianismeijusticia.net/author/jesus-martinez-gor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cristianismeijusticia.net/2019/04/15/mujeres-igualdad-sociedad-e-iglesi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blog.cristianismeijusticia.net/author/jesus-martinez-gord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ixabay.com/es/users/arttower-5337/?utm_source=link-attribution&amp;utm_medium=referral&amp;utm_campaign=image&amp;utm_content=205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cristianismeijusticia.net/2022/05/13/clerig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1165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La revolución de la Iglesia en Alemania</vt:lpstr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2022-06-15T14:38:00Z</dcterms:created>
  <dcterms:modified xsi:type="dcterms:W3CDTF">2022-06-15T14:57:00Z</dcterms:modified>
</cp:coreProperties>
</file>