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B862" w14:textId="46D9523E" w:rsidR="007C7A22" w:rsidRDefault="007C7A22" w:rsidP="007C7A22">
      <w:pPr>
        <w:jc w:val="center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GUATEMALA: </w:t>
      </w:r>
      <w:r w:rsidR="00354DD8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¿</w:t>
      </w:r>
      <w:r w:rsidRPr="00C06B17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DICTADURA </w:t>
      </w:r>
      <w:r w:rsidR="00E14F8A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NUEVA O CONTINUA</w:t>
      </w:r>
      <w:r w:rsidR="00927FBF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CION</w:t>
      </w:r>
      <w:r w:rsidR="005254AE"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?</w:t>
      </w:r>
    </w:p>
    <w:p w14:paraId="6982D459" w14:textId="204D532F" w:rsidR="005254AE" w:rsidRPr="00C06B17" w:rsidRDefault="005254AE" w:rsidP="005254AE">
      <w:pPr>
        <w:jc w:val="right"/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Kajkoj</w:t>
      </w:r>
      <w:proofErr w:type="spellEnd"/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Maximo</w:t>
      </w:r>
      <w:proofErr w:type="spellEnd"/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 xml:space="preserve"> Ba </w:t>
      </w:r>
      <w:proofErr w:type="spellStart"/>
      <w:r>
        <w:rPr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t>Tiul</w:t>
      </w:r>
      <w:proofErr w:type="spellEnd"/>
      <w:r>
        <w:rPr>
          <w:rStyle w:val="Refdenotaalpie"/>
          <w:rFonts w:ascii="Arial" w:hAnsi="Arial" w:cs="Arial"/>
          <w:b/>
          <w:bCs/>
          <w:color w:val="050505"/>
          <w:sz w:val="24"/>
          <w:szCs w:val="24"/>
          <w:shd w:val="clear" w:color="auto" w:fill="FFFFFF"/>
        </w:rPr>
        <w:footnoteReference w:id="1"/>
      </w:r>
    </w:p>
    <w:p w14:paraId="08E77740" w14:textId="0FB1680E" w:rsidR="007C7A22" w:rsidRDefault="00DD7CDC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¿</w:t>
      </w:r>
      <w:r w:rsidR="007C7A22" w:rsidRPr="00C06B1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Estamos a las puertas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de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consolidar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una </w:t>
      </w:r>
      <w:r w:rsidR="007C7A22" w:rsidRPr="00C06B1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dictadura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perfecta?</w:t>
      </w:r>
      <w:r w:rsidR="007C7A22" w:rsidRPr="00C06B1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Algunos piensan que estamos regresando a los años oscuros de la última guerra en nuestro país, pero creo que no es así,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es la continuación, de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los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años oscuros que vivimos en el país (1960-1996).  En este periodo de tiempo, se consolid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ó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al amparo de diferentes gobiernos de Estados Unidos, gobiernos dictatoriales, represivos, militares y corruptos en Guatemala: (Ydigoras Fuentes, Peralta Azurdia, </w:t>
      </w:r>
      <w:r w:rsidR="005254AE">
        <w:rPr>
          <w:rFonts w:ascii="Arial" w:hAnsi="Arial" w:cs="Arial"/>
          <w:color w:val="050505"/>
          <w:sz w:val="24"/>
          <w:szCs w:val="24"/>
          <w:shd w:val="clear" w:color="auto" w:fill="FFFFFF"/>
        </w:rPr>
        <w:t>Méndez Montenegro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Arana Osorio, </w:t>
      </w:r>
      <w:proofErr w:type="spellStart"/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Laugerud</w:t>
      </w:r>
      <w:proofErr w:type="spellEnd"/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García, Lucas García, Mejía V</w:t>
      </w:r>
      <w:r w:rsidR="00EB11C7">
        <w:rPr>
          <w:rFonts w:ascii="Arial" w:hAnsi="Arial" w:cs="Arial"/>
          <w:color w:val="050505"/>
          <w:sz w:val="24"/>
          <w:szCs w:val="24"/>
          <w:shd w:val="clear" w:color="auto" w:fill="FFFFFF"/>
        </w:rPr>
        <w:t>í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ctores, Cerezo, Serrano Elías, De </w:t>
      </w:r>
      <w:r w:rsidR="00EB11C7">
        <w:rPr>
          <w:rFonts w:ascii="Arial" w:hAnsi="Arial" w:cs="Arial"/>
          <w:color w:val="050505"/>
          <w:sz w:val="24"/>
          <w:szCs w:val="24"/>
          <w:shd w:val="clear" w:color="auto" w:fill="FFFFFF"/>
        </w:rPr>
        <w:t>León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Carpio, Arzú Irigoyen, Portillo, Berger, Colom, Pérez Molina, Morales y </w:t>
      </w:r>
      <w:proofErr w:type="spellStart"/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Giammattei</w:t>
      </w:r>
      <w:proofErr w:type="spellEnd"/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).  Todos estos, absolutamente todos, estuvieron bañados en corrupción y nunca se p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ensaron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pasar de un Estado colonial a un Estado más igualitario o por lo menos más incluyente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no solo poniendo a indios y mujeres en puestos de maquila, como se acostumbra hacer hasta ahora.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Casos hay muchos, como el Consejo de Estado de Ríos Montt o las famosas ventanillas creadas después de la firma de la paz. </w:t>
      </w:r>
    </w:p>
    <w:p w14:paraId="32D67817" w14:textId="7940FCDB" w:rsidR="007C7A22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En estos años de paz, no se pudo desterrar el militarismo, el autoritarismo, el terrorismo y la dictadura.  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Esto, al contrario,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se fortaleció con el narcotráfico. La sociedad civil y los movimientos sociales confiaron en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el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Estado de la “paz”, pero sin desterrar los siglos de sometimiento y control que se había desarrollado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fortalecido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durante muchos siglos en contra de la población sobre todo indígena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pobre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 “La cultura del finquero” 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>más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la “cultura militar” y ahora la “cultura del narcotráfico”, no fueron sometidos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ni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por las consultas comunitarias, ni por las resistencias,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ni por la participación de partidos políticos de izquierda o progresistas,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al contrario, pudo más la “cultura de la corrupción y la impunidad”, porque este sirvió de base 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para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que volviera el </w:t>
      </w:r>
      <w:proofErr w:type="spellStart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extractivismo</w:t>
      </w:r>
      <w:proofErr w:type="spellEnd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con mucha más fuerza, los finqueros y terratenientes más agresivos, los militares más corruptos y los </w:t>
      </w:r>
      <w:r w:rsidR="00714347">
        <w:rPr>
          <w:rFonts w:ascii="Arial" w:hAnsi="Arial" w:cs="Arial"/>
          <w:color w:val="050505"/>
          <w:sz w:val="24"/>
          <w:szCs w:val="24"/>
          <w:shd w:val="clear" w:color="auto" w:fill="FFFFFF"/>
        </w:rPr>
        <w:t>líderes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políticos, sometidos al control del crimen organizado.</w:t>
      </w:r>
    </w:p>
    <w:p w14:paraId="68C9D9C7" w14:textId="61C174F0" w:rsidR="007C7A22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Lo que estamos vi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>vi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endo hoy, pareciera que es nuevo.  Pero no es así, debemos aprender de la historia.  Ella nos puede dar la pauta, hacia donde transitar.  Que </w:t>
      </w:r>
      <w:proofErr w:type="spellStart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Giammattei</w:t>
      </w:r>
      <w:proofErr w:type="spellEnd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, pretenda ser un dictador, no es casual.  Tiene muchas aristas que hay que saber analizar y no será objetiva, sí solo, vemos a los alfiles o peones, hay que pensar en el rey y la reina.</w:t>
      </w:r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 La ansiedad dictatorial de </w:t>
      </w:r>
      <w:proofErr w:type="spellStart"/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>Gimmattei</w:t>
      </w:r>
      <w:proofErr w:type="spellEnd"/>
      <w:r w:rsidR="00DD7CDC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es continuación de las dictaduras de antaño, solo que ahora con “cara civil”.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4647C7">
        <w:rPr>
          <w:rFonts w:ascii="Arial" w:hAnsi="Arial" w:cs="Arial"/>
          <w:color w:val="050505"/>
          <w:sz w:val="24"/>
          <w:szCs w:val="24"/>
          <w:shd w:val="clear" w:color="auto" w:fill="FFFFFF"/>
        </w:rPr>
        <w:t>Porque, ¿a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 w:rsidR="005254AE">
        <w:rPr>
          <w:rFonts w:ascii="Arial" w:hAnsi="Arial" w:cs="Arial"/>
          <w:color w:val="050505"/>
          <w:sz w:val="24"/>
          <w:szCs w:val="24"/>
          <w:shd w:val="clear" w:color="auto" w:fill="FFFFFF"/>
        </w:rPr>
        <w:t>quiénes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les conviene que estemos así y quienes diseñan estás políticas?  No son solo los tres poderes del Estado.  </w:t>
      </w:r>
      <w:r w:rsidR="004647C7">
        <w:rPr>
          <w:rFonts w:ascii="Arial" w:hAnsi="Arial" w:cs="Arial"/>
          <w:color w:val="050505"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ensemos un poco, ¿por qué la alianza Zury y Arzú?  ¿Qué significa la alianza genocidas y oligarquías-criollas, hoy? ¿Por qué entre algunos de los perseguidos, están los peones y alfiles de los Gutiérrez?</w:t>
      </w:r>
      <w:r w:rsidR="004647C7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¿Por qué las peleas </w:t>
      </w:r>
      <w:r w:rsidR="004647C7">
        <w:rPr>
          <w:rFonts w:ascii="Arial" w:hAnsi="Arial" w:cs="Arial"/>
          <w:color w:val="050505"/>
          <w:sz w:val="24"/>
          <w:szCs w:val="24"/>
          <w:shd w:val="clear" w:color="auto" w:fill="FFFFFF"/>
        </w:rPr>
        <w:lastRenderedPageBreak/>
        <w:t>por puestos de los grupos progresistas y de izquierda</w:t>
      </w:r>
      <w:r w:rsidR="00EB713C">
        <w:rPr>
          <w:rStyle w:val="Refdenotaalpie"/>
          <w:rFonts w:ascii="Arial" w:hAnsi="Arial" w:cs="Arial"/>
          <w:color w:val="050505"/>
          <w:sz w:val="24"/>
          <w:szCs w:val="24"/>
          <w:shd w:val="clear" w:color="auto" w:fill="FFFFFF"/>
        </w:rPr>
        <w:footnoteReference w:id="2"/>
      </w:r>
      <w:r w:rsidR="004647C7">
        <w:rPr>
          <w:rFonts w:ascii="Arial" w:hAnsi="Arial" w:cs="Arial"/>
          <w:color w:val="050505"/>
          <w:sz w:val="24"/>
          <w:szCs w:val="24"/>
          <w:shd w:val="clear" w:color="auto" w:fill="FFFFFF"/>
        </w:rPr>
        <w:t>? ¿Qué podemos decir, de la inclusión de personas de derecha o ligadas a la corrupción en partidos de izquierda y progresistas?</w:t>
      </w:r>
    </w:p>
    <w:p w14:paraId="617A68A3" w14:textId="142D21B2" w:rsidR="00EB713C" w:rsidRDefault="00EB713C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Hay una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continuidad de la guerra fría, solo que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bajo un modelo </w:t>
      </w:r>
      <w:proofErr w:type="spellStart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neo-contrainsurgente</w:t>
      </w:r>
      <w:proofErr w:type="spellEnd"/>
      <w:r>
        <w:rPr>
          <w:rStyle w:val="Refdenotaalpie"/>
          <w:rFonts w:ascii="Arial" w:hAnsi="Arial" w:cs="Arial"/>
          <w:color w:val="050505"/>
          <w:sz w:val="24"/>
          <w:szCs w:val="24"/>
          <w:shd w:val="clear" w:color="auto" w:fill="FFFFFF"/>
        </w:rPr>
        <w:footnoteReference w:id="3"/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en este caso el enemigo es quien se opone a la corrupción y la impunidad. El sistema democrático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>que también fue analizado como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: “democracia decente, democracia tutelada, democracia controlada, democracia neoliberal, democracia cooptada”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siendo la misma democracia, 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 manejada hoy a su antojo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por el crimen organizado.  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Cuando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 discutía el regreso a la democracia (1985), no nos dimos cuenta, que 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>también comenzaba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 restaurar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>se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el poder colonial y 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se promovería lo que hoy algunos llaman la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cooptación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del Estado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.  Es</w:t>
      </w:r>
      <w:r w:rsidR="004C2112">
        <w:rPr>
          <w:rFonts w:ascii="Arial" w:hAnsi="Arial" w:cs="Arial"/>
          <w:color w:val="050505"/>
          <w:sz w:val="24"/>
          <w:szCs w:val="24"/>
          <w:shd w:val="clear" w:color="auto" w:fill="FFFFFF"/>
        </w:rPr>
        <w:t>to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mismo sucede con el discurso del Estado fallido, el Estado narco, el Estado capturado, que es el mismo Estado burgués, terrorista, oligárquico, que nunca cambio a un Estado igualitario</w:t>
      </w:r>
      <w:r w:rsidR="00A13084"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</w:p>
    <w:p w14:paraId="04E42355" w14:textId="1A07571D" w:rsidR="007C7A22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 w:rsidRP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>Mientras los i</w:t>
      </w:r>
      <w:r w:rsidR="00F05422" w:rsidRP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>mitadores</w:t>
      </w:r>
      <w:r w:rsidR="00F054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seguidores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del César, Hitler, </w:t>
      </w:r>
      <w:r w:rsidR="00354DD8">
        <w:rPr>
          <w:rFonts w:ascii="Arial" w:hAnsi="Arial" w:cs="Arial"/>
          <w:color w:val="050505"/>
          <w:sz w:val="24"/>
          <w:szCs w:val="24"/>
          <w:shd w:val="clear" w:color="auto" w:fill="FFFFFF"/>
        </w:rPr>
        <w:t>Mussolini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Franco, etc., llegaban a la presidencia, los plebeyos, nos quedamos viendo desde lejos, </w:t>
      </w:r>
      <w:r w:rsid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esperando que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algo</w:t>
      </w:r>
      <w:r w:rsid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cambiar</w:t>
      </w:r>
      <w:r w:rsid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>ía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.  Algunos se conformaron con el concepto de “integración” y llegaron a ser diputados, ministros, embajadores, directores de algún programa, etc., pero hasta allí</w:t>
      </w:r>
      <w:r w:rsidR="00B16B1A">
        <w:rPr>
          <w:rFonts w:ascii="Arial" w:hAnsi="Arial" w:cs="Arial"/>
          <w:color w:val="050505"/>
          <w:sz w:val="24"/>
          <w:szCs w:val="24"/>
          <w:shd w:val="clear" w:color="auto" w:fill="FFFFFF"/>
        </w:rPr>
        <w:t>.  P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ara los pueblos, para los pobres, no cambió nada.  Como dicen en las comunidades: “la paz fue una mentira”.  Comenzó la represión por todos lados, desalojos, la </w:t>
      </w:r>
      <w:r w:rsidR="005254AE">
        <w:rPr>
          <w:rFonts w:ascii="Arial" w:hAnsi="Arial" w:cs="Arial"/>
          <w:color w:val="050505"/>
          <w:sz w:val="24"/>
          <w:szCs w:val="24"/>
          <w:shd w:val="clear" w:color="auto" w:fill="FFFFFF"/>
        </w:rPr>
        <w:t>oligarquía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los criollos cobraron fuerza, los militares, etc.  Poco a poco, el narcotráfico, lavar dinero, la corrupción y la impunidad, se convirtió en el medio más fácil para hacerse rico y comenzamos otro circulo de represión, criminalización.</w:t>
      </w:r>
    </w:p>
    <w:p w14:paraId="426292D2" w14:textId="77777777" w:rsidR="00E12BF2" w:rsidRDefault="00E12BF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Los primeros criminalizados fueron líderes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y lideresas comunitarias y a quienes llamamos “presos políticos”,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quienes estaban en resistencia contra el </w:t>
      </w:r>
      <w:proofErr w:type="spellStart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extractivismo</w:t>
      </w:r>
      <w:proofErr w:type="spellEnd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.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uego los jueces y fiscales que quisieron hacer bien su trabajo, poco a poco periodistas independientes, principalmente de medios alternativos, ahora los periodistas de la prensa corporativa, que casi nunca ha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n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pensado en los pobres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.  Ahora le toco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al exprocurador de los derechos humanos.  </w:t>
      </w:r>
    </w:p>
    <w:p w14:paraId="55519422" w14:textId="19A0C471" w:rsidR="00E12BF2" w:rsidRDefault="00E12BF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Los criminales s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e tomaron toda la institucionalidad del Estado,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ahora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a la Universidad, incluso,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hasta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llegar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on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 cooptar a organizaciones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y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movimientos sociales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; como el Sindicato de Trabajadores de la Educación (STEG), al Frente Nacional de Lucha (FNL), a la Coordinadora de Organización Indígenas y Campesina (CONIC).  Hoy podrían volver a hacerlo, por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que estamos a las puertas de las elecciones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 A las comunidades las dividen, y han puesto a pelear 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>comunidad contra comunidad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>, como sucede en los desalojos y con la persecución penal de líderes y lideresas, al comprar testigos para que acusen a los líderes que están en la resistencia</w:t>
      </w:r>
      <w:r w:rsidR="007C7A2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La cooptación también es sinónimo de represión.  Recordemos las palabras de </w:t>
      </w:r>
      <w:proofErr w:type="spellStart"/>
      <w:r w:rsidR="00EB11C7">
        <w:rPr>
          <w:rFonts w:ascii="Arial" w:hAnsi="Arial" w:cs="Arial"/>
          <w:color w:val="050505"/>
          <w:sz w:val="24"/>
          <w:szCs w:val="24"/>
          <w:shd w:val="clear" w:color="auto" w:fill="FFFFFF"/>
        </w:rPr>
        <w:t>Alvaro</w:t>
      </w:r>
      <w:proofErr w:type="spellEnd"/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Arzú en una reunión con “académicos mayas”, en un 9 de agosto, mientras el movimiento maya salía a las calles a manifestar contra el Estado.  “Ustedes que están reunidos conmigo son los que me gustan, pero los que están en las calles no”.</w:t>
      </w:r>
    </w:p>
    <w:p w14:paraId="186C2369" w14:textId="6CDB0425" w:rsidR="00435A98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Este modelo dictatorial, no es nada nuevo para quienes vivimos los años de la guerra. </w:t>
      </w:r>
      <w:r w:rsidR="00E12BF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Comienza con persecución selectiva y luego se convierte en persecución colectiva.  También cambian leyes</w:t>
      </w:r>
      <w:r w:rsidR="00D13326">
        <w:rPr>
          <w:rStyle w:val="Refdenotaalpie"/>
          <w:rFonts w:ascii="Arial" w:hAnsi="Arial" w:cs="Arial"/>
          <w:color w:val="050505"/>
          <w:sz w:val="24"/>
          <w:szCs w:val="24"/>
          <w:shd w:val="clear" w:color="auto" w:fill="FFFFFF"/>
        </w:rPr>
        <w:footnoteReference w:id="4"/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, como la “iniciativa de ley 6076 o la ley de Ciberdelito”.  </w:t>
      </w:r>
      <w:r w:rsidR="00E12BF2">
        <w:rPr>
          <w:rFonts w:ascii="Arial" w:hAnsi="Arial" w:cs="Arial"/>
          <w:color w:val="050505"/>
          <w:sz w:val="24"/>
          <w:szCs w:val="24"/>
          <w:shd w:val="clear" w:color="auto" w:fill="FFFFFF"/>
        </w:rPr>
        <w:t>Pueden darle super poder a ministerios que les conviene como los Ministerios de la Defensa, de Gobernación, o como lo</w:t>
      </w:r>
      <w:r w:rsidR="00D13326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que</w:t>
      </w:r>
      <w:r w:rsidR="00E12BF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quieren hacer con el ministerio de Ambiente y Recursos naturales, a</w:t>
      </w:r>
      <w:r w:rsidR="00D13326">
        <w:rPr>
          <w:rFonts w:ascii="Arial" w:hAnsi="Arial" w:cs="Arial"/>
          <w:color w:val="050505"/>
          <w:sz w:val="24"/>
          <w:szCs w:val="24"/>
          <w:shd w:val="clear" w:color="auto" w:fill="FFFFFF"/>
        </w:rPr>
        <w:t>l</w:t>
      </w:r>
      <w:r w:rsidR="00E12BF2"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transformarlo en un</w:t>
      </w:r>
      <w:r>
        <w:rPr>
          <w:rFonts w:ascii="Arial" w:hAnsi="Arial" w:cs="Arial"/>
          <w:color w:val="050505"/>
          <w:sz w:val="24"/>
          <w:szCs w:val="24"/>
          <w:shd w:val="clear" w:color="auto" w:fill="FFFFFF"/>
        </w:rPr>
        <w:t xml:space="preserve"> “super ministerio de ambiente y recursos naturales”. </w:t>
      </w:r>
    </w:p>
    <w:p w14:paraId="636DE5F1" w14:textId="555836D7" w:rsidR="00DD7CDC" w:rsidRPr="00DD7CDC" w:rsidRDefault="00DD7CDC" w:rsidP="00DD7CD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D7C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Contra todo esto solo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hay un</w:t>
      </w:r>
      <w:r w:rsidRPr="00DD7C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camino: “identificar las vías que permitan conquistar, acumular y sostener poder popular real, que permita torcer los destinos y las decisiones políticas.  Empujar los procesos de universalización de la lucha social, política y cultural, tejer en los territorios locales programas de acción que pongan en el centro protagónico de la toma de decisiones a las comunidades para el fortalecimiento de un poder popular que puede investir un carácter “glocal” (de lo local a lo global, de lo global a lo local, pasando por lo regional)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”</w:t>
      </w:r>
      <w:r w:rsidRPr="00DD7CDC">
        <w:rPr>
          <w:rStyle w:val="Refdenotaalpie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footnoteReference w:id="5"/>
      </w:r>
      <w:r w:rsidRPr="00DD7CD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14:paraId="52C62983" w14:textId="77777777" w:rsidR="00DD7CDC" w:rsidRPr="00DD7CDC" w:rsidRDefault="00DD7CDC" w:rsidP="00DD7CDC">
      <w:pPr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8EF992E" w14:textId="173361C8" w:rsidR="005254AE" w:rsidRPr="00DD7CDC" w:rsidRDefault="005254AE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1DE2C93B" w14:textId="77777777" w:rsidR="007C7A22" w:rsidRPr="00DD7CDC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204E9B4D" w14:textId="77777777" w:rsidR="007C7A22" w:rsidRPr="00DD7CDC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p w14:paraId="02A89BAA" w14:textId="77777777" w:rsidR="007C7A22" w:rsidRPr="00C06B17" w:rsidRDefault="007C7A22" w:rsidP="007C7A22">
      <w:pPr>
        <w:jc w:val="both"/>
        <w:rPr>
          <w:rFonts w:ascii="Arial" w:hAnsi="Arial" w:cs="Arial"/>
          <w:color w:val="050505"/>
          <w:sz w:val="24"/>
          <w:szCs w:val="24"/>
          <w:shd w:val="clear" w:color="auto" w:fill="FFFFFF"/>
        </w:rPr>
      </w:pPr>
    </w:p>
    <w:sectPr w:rsidR="007C7A22" w:rsidRPr="00C06B17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2483" w14:textId="77777777" w:rsidR="00594EC6" w:rsidRDefault="00594EC6" w:rsidP="005254AE">
      <w:pPr>
        <w:spacing w:after="0" w:line="240" w:lineRule="auto"/>
      </w:pPr>
      <w:r>
        <w:separator/>
      </w:r>
    </w:p>
  </w:endnote>
  <w:endnote w:type="continuationSeparator" w:id="0">
    <w:p w14:paraId="0739C450" w14:textId="77777777" w:rsidR="00594EC6" w:rsidRDefault="00594EC6" w:rsidP="00525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EAB8" w14:textId="43F536C6" w:rsidR="005254AE" w:rsidRDefault="005254AE" w:rsidP="005254AE">
    <w:pPr>
      <w:pStyle w:val="Piedepgina"/>
      <w:jc w:val="center"/>
    </w:pPr>
    <w:r>
      <w:t>San Cristóbal Verapaz, 21 de agosto de 2022, chiwax2030@yahoo.com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5AE0" w14:textId="77777777" w:rsidR="00594EC6" w:rsidRDefault="00594EC6" w:rsidP="005254AE">
      <w:pPr>
        <w:spacing w:after="0" w:line="240" w:lineRule="auto"/>
      </w:pPr>
      <w:r>
        <w:separator/>
      </w:r>
    </w:p>
  </w:footnote>
  <w:footnote w:type="continuationSeparator" w:id="0">
    <w:p w14:paraId="24CB9AC8" w14:textId="77777777" w:rsidR="00594EC6" w:rsidRDefault="00594EC6" w:rsidP="005254AE">
      <w:pPr>
        <w:spacing w:after="0" w:line="240" w:lineRule="auto"/>
      </w:pPr>
      <w:r>
        <w:continuationSeparator/>
      </w:r>
    </w:p>
  </w:footnote>
  <w:footnote w:id="1">
    <w:p w14:paraId="517CF908" w14:textId="41A9ED71" w:rsidR="005254AE" w:rsidRDefault="005254AE">
      <w:pPr>
        <w:pStyle w:val="Textonotapie"/>
      </w:pPr>
      <w:r>
        <w:rPr>
          <w:rStyle w:val="Refdenotaalpie"/>
        </w:rPr>
        <w:footnoteRef/>
      </w:r>
      <w:r>
        <w:t xml:space="preserve"> Maya </w:t>
      </w:r>
      <w:proofErr w:type="spellStart"/>
      <w:r>
        <w:t>Poqomchi</w:t>
      </w:r>
      <w:proofErr w:type="spellEnd"/>
      <w:r>
        <w:t>, antropólogo, filósofo, teólogo, investigador, profesor universitario.</w:t>
      </w:r>
    </w:p>
  </w:footnote>
  <w:footnote w:id="2">
    <w:p w14:paraId="55B00A28" w14:textId="1D9B9F53" w:rsidR="00EB713C" w:rsidRDefault="00EB713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3D7BB4">
          <w:rPr>
            <w:rStyle w:val="Hipervnculo"/>
          </w:rPr>
          <w:t>https://lahora.gt/nacionales/la-hora/2022/08/09/caso-zamora-phillip-chicola-rechaza-senalamientos-en-su-contra-difundidos-por-el-mp/</w:t>
        </w:r>
      </w:hyperlink>
      <w:r>
        <w:t>, visto última vez el 22 de agosto de 2022.</w:t>
      </w:r>
    </w:p>
  </w:footnote>
  <w:footnote w:id="3">
    <w:p w14:paraId="772FB12F" w14:textId="0D959615" w:rsidR="00EB713C" w:rsidRDefault="00EB713C">
      <w:pPr>
        <w:pStyle w:val="Textonotapie"/>
      </w:pPr>
      <w:r>
        <w:rPr>
          <w:rStyle w:val="Refdenotaalpie"/>
        </w:rPr>
        <w:footnoteRef/>
      </w:r>
      <w:r>
        <w:t xml:space="preserve"> Ya no son guerrilleros y comunistas los que se consideran como enemigos internos, sino todos aquellos que se oponen a la corrupción y la impunidad, sin importar si alguna vez fueron del mismo grupo o clase social. </w:t>
      </w:r>
    </w:p>
  </w:footnote>
  <w:footnote w:id="4">
    <w:p w14:paraId="6114BE48" w14:textId="77777777" w:rsidR="00D13326" w:rsidRPr="00D13326" w:rsidRDefault="00D13326" w:rsidP="00D13326">
      <w:pPr>
        <w:spacing w:after="0" w:line="240" w:lineRule="auto"/>
        <w:jc w:val="both"/>
        <w:rPr>
          <w:rFonts w:cstheme="minorHAnsi"/>
          <w:color w:val="050505"/>
          <w:sz w:val="20"/>
          <w:szCs w:val="20"/>
          <w:shd w:val="clear" w:color="auto" w:fill="FFFFFF"/>
        </w:rPr>
      </w:pPr>
      <w:r>
        <w:rPr>
          <w:rStyle w:val="Refdenotaalpie"/>
        </w:rPr>
        <w:footnoteRef/>
      </w:r>
      <w:r>
        <w:t xml:space="preserve"> </w:t>
      </w:r>
      <w:r w:rsidRPr="00D13326">
        <w:rPr>
          <w:rFonts w:cstheme="minorHAnsi"/>
          <w:color w:val="050505"/>
          <w:sz w:val="20"/>
          <w:szCs w:val="20"/>
          <w:shd w:val="clear" w:color="auto" w:fill="FFFFFF"/>
        </w:rPr>
        <w:t xml:space="preserve">Recordemos la “ley </w:t>
      </w:r>
      <w:proofErr w:type="spellStart"/>
      <w:r w:rsidRPr="00D13326">
        <w:rPr>
          <w:rFonts w:cstheme="minorHAnsi"/>
          <w:color w:val="050505"/>
          <w:sz w:val="20"/>
          <w:szCs w:val="20"/>
          <w:shd w:val="clear" w:color="auto" w:fill="FFFFFF"/>
        </w:rPr>
        <w:t>anti-capucha</w:t>
      </w:r>
      <w:proofErr w:type="spellEnd"/>
      <w:r w:rsidRPr="00D13326">
        <w:rPr>
          <w:rFonts w:cstheme="minorHAnsi"/>
          <w:color w:val="050505"/>
          <w:sz w:val="20"/>
          <w:szCs w:val="20"/>
          <w:shd w:val="clear" w:color="auto" w:fill="FFFFFF"/>
        </w:rPr>
        <w:t xml:space="preserve">” del criollo “Arzú” o la “Ley Tigo” de Pérez Molina, ambas leyes sirvieron para desmovilizar las luchas sociales. En ese momento muchas comunidades habían instalado barricadas, túmulos y otras formas de denuncia y protección de sus comunidades, para impedir no solo la instalación de torres para celulares, sino para no dejar pasar maquinarias de las empresas extractivas (minería, hidroeléctricas o monocultivos), pero al emitir estas leyes, la gente y las organizaciones se resguardaron en sus “zonas de confort” y comenzó la etapa de extracción de recursos. </w:t>
      </w:r>
    </w:p>
    <w:p w14:paraId="293AFD9F" w14:textId="73D4CB30" w:rsidR="00D13326" w:rsidRPr="00D13326" w:rsidRDefault="00D13326" w:rsidP="00D13326">
      <w:pPr>
        <w:pStyle w:val="Textonotapie"/>
        <w:rPr>
          <w:rFonts w:cstheme="minorHAnsi"/>
        </w:rPr>
      </w:pPr>
    </w:p>
  </w:footnote>
  <w:footnote w:id="5">
    <w:p w14:paraId="1EF06D84" w14:textId="6FF794B6" w:rsidR="00DD7CDC" w:rsidRPr="00D13326" w:rsidRDefault="00DD7CDC" w:rsidP="00DD7CDC">
      <w:pPr>
        <w:rPr>
          <w:rFonts w:cstheme="minorHAnsi"/>
          <w:color w:val="282828"/>
          <w:sz w:val="20"/>
          <w:szCs w:val="20"/>
          <w:shd w:val="clear" w:color="auto" w:fill="FFFFFF"/>
        </w:rPr>
      </w:pPr>
      <w:r w:rsidRPr="00D13326">
        <w:rPr>
          <w:rStyle w:val="Refdenotaalpie"/>
          <w:rFonts w:cstheme="minorHAnsi"/>
          <w:sz w:val="20"/>
          <w:szCs w:val="20"/>
        </w:rPr>
        <w:footnoteRef/>
      </w:r>
      <w:r w:rsidRPr="00D13326">
        <w:rPr>
          <w:rFonts w:cstheme="minorHAnsi"/>
          <w:sz w:val="20"/>
          <w:szCs w:val="20"/>
        </w:rPr>
        <w:t xml:space="preserve"> Giménez, Paula y Matías </w:t>
      </w:r>
      <w:proofErr w:type="spellStart"/>
      <w:r w:rsidRPr="00D13326">
        <w:rPr>
          <w:rFonts w:cstheme="minorHAnsi"/>
          <w:sz w:val="20"/>
          <w:szCs w:val="20"/>
        </w:rPr>
        <w:t>Caciabue</w:t>
      </w:r>
      <w:proofErr w:type="spellEnd"/>
      <w:r w:rsidRPr="00D13326">
        <w:rPr>
          <w:rFonts w:cstheme="minorHAnsi"/>
          <w:sz w:val="20"/>
          <w:szCs w:val="20"/>
        </w:rPr>
        <w:t xml:space="preserve">, El Ciclo Progresista en Debate,  </w:t>
      </w:r>
      <w:hyperlink r:id="rId2" w:history="1">
        <w:r w:rsidRPr="00D13326">
          <w:rPr>
            <w:rStyle w:val="Hipervnculo"/>
            <w:rFonts w:cstheme="minorHAnsi"/>
            <w:sz w:val="20"/>
            <w:szCs w:val="20"/>
            <w:shd w:val="clear" w:color="auto" w:fill="FFFFFF"/>
          </w:rPr>
          <w:t>https://rebelion.org/732123-2/</w:t>
        </w:r>
      </w:hyperlink>
      <w:r w:rsidRPr="00D13326">
        <w:rPr>
          <w:rStyle w:val="Hipervnculo"/>
          <w:rFonts w:cstheme="minorHAnsi"/>
          <w:sz w:val="20"/>
          <w:szCs w:val="20"/>
          <w:shd w:val="clear" w:color="auto" w:fill="FFFFFF"/>
        </w:rPr>
        <w:t xml:space="preserve">, </w:t>
      </w:r>
      <w:r w:rsidRPr="00D13326">
        <w:rPr>
          <w:rStyle w:val="Hipervnculo"/>
          <w:rFonts w:cstheme="minorHAnsi"/>
          <w:color w:val="000000" w:themeColor="text1"/>
          <w:sz w:val="20"/>
          <w:szCs w:val="20"/>
          <w:u w:val="none"/>
          <w:shd w:val="clear" w:color="auto" w:fill="FFFFFF"/>
        </w:rPr>
        <w:t xml:space="preserve">visto </w:t>
      </w:r>
      <w:r w:rsidR="00435A98" w:rsidRPr="00D13326">
        <w:rPr>
          <w:rStyle w:val="Hipervnculo"/>
          <w:rFonts w:cstheme="minorHAnsi"/>
          <w:color w:val="000000" w:themeColor="text1"/>
          <w:sz w:val="20"/>
          <w:szCs w:val="20"/>
          <w:u w:val="none"/>
          <w:shd w:val="clear" w:color="auto" w:fill="FFFFFF"/>
        </w:rPr>
        <w:t>última</w:t>
      </w:r>
      <w:r w:rsidRPr="00D13326">
        <w:rPr>
          <w:rStyle w:val="Hipervnculo"/>
          <w:rFonts w:cstheme="minorHAnsi"/>
          <w:color w:val="000000" w:themeColor="text1"/>
          <w:sz w:val="20"/>
          <w:szCs w:val="20"/>
          <w:u w:val="none"/>
          <w:shd w:val="clear" w:color="auto" w:fill="FFFFFF"/>
        </w:rPr>
        <w:t xml:space="preserve"> vez el 21 de agosto de 2022</w:t>
      </w:r>
    </w:p>
    <w:p w14:paraId="08A62B5C" w14:textId="77777777" w:rsidR="00DD7CDC" w:rsidRPr="00C06B17" w:rsidRDefault="00DD7CDC" w:rsidP="00DD7CDC">
      <w:pPr>
        <w:rPr>
          <w:rFonts w:ascii="Arial" w:hAnsi="Arial" w:cs="Arial"/>
          <w:color w:val="282828"/>
          <w:sz w:val="24"/>
          <w:szCs w:val="24"/>
          <w:shd w:val="clear" w:color="auto" w:fill="FFFFFF"/>
        </w:rPr>
      </w:pPr>
    </w:p>
    <w:p w14:paraId="2764FEA9" w14:textId="69DA2A0F" w:rsidR="00DD7CDC" w:rsidRDefault="00DD7CDC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7F47" w14:textId="55F3EA00" w:rsidR="005254AE" w:rsidRDefault="005254AE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64ECED" wp14:editId="7FE1FB4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C25B8B0" w14:textId="0808F628" w:rsidR="005254AE" w:rsidRDefault="005254AE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64ECED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C25B8B0" w14:textId="0808F628" w:rsidR="005254AE" w:rsidRDefault="005254AE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22"/>
    <w:rsid w:val="00055E55"/>
    <w:rsid w:val="000C754E"/>
    <w:rsid w:val="000E08FB"/>
    <w:rsid w:val="00354DD8"/>
    <w:rsid w:val="00435A98"/>
    <w:rsid w:val="004647C7"/>
    <w:rsid w:val="004C07B9"/>
    <w:rsid w:val="004C2112"/>
    <w:rsid w:val="005254AE"/>
    <w:rsid w:val="00594EC6"/>
    <w:rsid w:val="00714347"/>
    <w:rsid w:val="007C7A22"/>
    <w:rsid w:val="008C0FCC"/>
    <w:rsid w:val="00910333"/>
    <w:rsid w:val="00927FBF"/>
    <w:rsid w:val="00985407"/>
    <w:rsid w:val="00A13084"/>
    <w:rsid w:val="00B16B1A"/>
    <w:rsid w:val="00B35464"/>
    <w:rsid w:val="00D13326"/>
    <w:rsid w:val="00DD296E"/>
    <w:rsid w:val="00DD7CDC"/>
    <w:rsid w:val="00E12BF2"/>
    <w:rsid w:val="00E14F8A"/>
    <w:rsid w:val="00EB11C7"/>
    <w:rsid w:val="00EB713C"/>
    <w:rsid w:val="00F0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1064F"/>
  <w15:chartTrackingRefBased/>
  <w15:docId w15:val="{6962E165-4409-4E8F-8BF1-FAA9E62FB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A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5254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4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54A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5254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4AE"/>
  </w:style>
  <w:style w:type="paragraph" w:styleId="Piedepgina">
    <w:name w:val="footer"/>
    <w:basedOn w:val="Normal"/>
    <w:link w:val="PiedepginaCar"/>
    <w:uiPriority w:val="99"/>
    <w:unhideWhenUsed/>
    <w:rsid w:val="005254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4AE"/>
  </w:style>
  <w:style w:type="character" w:styleId="Hipervnculo">
    <w:name w:val="Hyperlink"/>
    <w:basedOn w:val="Fuentedeprrafopredeter"/>
    <w:uiPriority w:val="99"/>
    <w:unhideWhenUsed/>
    <w:rsid w:val="00DD7CD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1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ebelion.org/732123-2/" TargetMode="External"/><Relationship Id="rId1" Type="http://schemas.openxmlformats.org/officeDocument/2006/relationships/hyperlink" Target="https://lahora.gt/nacionales/la-hora/2022/08/09/caso-zamora-phillip-chicola-rechaza-senalamientos-en-su-contra-difundidos-por-el-mp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7C87A-7A88-480B-A60E-6C74F2728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1100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3</cp:revision>
  <dcterms:created xsi:type="dcterms:W3CDTF">2022-08-25T14:58:00Z</dcterms:created>
  <dcterms:modified xsi:type="dcterms:W3CDTF">2022-08-25T14:58:00Z</dcterms:modified>
</cp:coreProperties>
</file>