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shd w:val="clear" w:color="auto" w:fill="FFFFFF"/>
        <w:tblCellMar>
          <w:left w:w="0" w:type="dxa"/>
          <w:right w:w="0" w:type="dxa"/>
        </w:tblCellMar>
        <w:tblLook w:val="04A0" w:firstRow="1" w:lastRow="0" w:firstColumn="1" w:lastColumn="0" w:noHBand="0" w:noVBand="1"/>
      </w:tblPr>
      <w:tblGrid>
        <w:gridCol w:w="8838"/>
      </w:tblGrid>
      <w:tr w:rsidR="00481ED3" w:rsidRPr="00481ED3" w14:paraId="7EC80AC6" w14:textId="77777777" w:rsidTr="00481ED3">
        <w:tc>
          <w:tcPr>
            <w:tcW w:w="0" w:type="auto"/>
            <w:shd w:val="clear" w:color="auto" w:fill="FFFFFF"/>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481ED3" w:rsidRPr="00481ED3" w14:paraId="771E9448" w14:textId="77777777">
              <w:tc>
                <w:tcPr>
                  <w:tcW w:w="0" w:type="auto"/>
                  <w:tcMar>
                    <w:top w:w="0" w:type="dxa"/>
                    <w:left w:w="270" w:type="dxa"/>
                    <w:bottom w:w="135" w:type="dxa"/>
                    <w:right w:w="270" w:type="dxa"/>
                  </w:tcMar>
                  <w:hideMark/>
                </w:tcPr>
                <w:p w14:paraId="5A3D276E" w14:textId="77777777" w:rsidR="00481ED3" w:rsidRPr="00481ED3" w:rsidRDefault="00481ED3" w:rsidP="00481ED3">
                  <w:pPr>
                    <w:spacing w:before="150" w:after="150" w:line="360" w:lineRule="atLeast"/>
                    <w:jc w:val="center"/>
                    <w:rPr>
                      <w:rFonts w:ascii="Helvetica" w:eastAsia="Times New Roman" w:hAnsi="Helvetica" w:cs="Helvetica"/>
                      <w:color w:val="202020"/>
                      <w:sz w:val="24"/>
                      <w:szCs w:val="24"/>
                      <w:lang w:eastAsia="es-GT"/>
                    </w:rPr>
                  </w:pPr>
                  <w:r w:rsidRPr="00481ED3">
                    <w:rPr>
                      <w:rFonts w:ascii="Helvetica" w:eastAsia="Times New Roman" w:hAnsi="Helvetica" w:cs="Helvetica"/>
                      <w:b/>
                      <w:bCs/>
                      <w:color w:val="006400"/>
                      <w:sz w:val="32"/>
                      <w:szCs w:val="32"/>
                      <w:lang w:eastAsia="es-GT"/>
                    </w:rPr>
                    <w:t>COMUNICADO</w:t>
                  </w:r>
                  <w:r w:rsidRPr="00481ED3">
                    <w:rPr>
                      <w:rFonts w:ascii="Helvetica" w:eastAsia="Times New Roman" w:hAnsi="Helvetica" w:cs="Helvetica"/>
                      <w:color w:val="202020"/>
                      <w:sz w:val="24"/>
                      <w:szCs w:val="24"/>
                      <w:lang w:eastAsia="es-GT"/>
                    </w:rPr>
                    <w:br/>
                  </w:r>
                  <w:r w:rsidRPr="00481ED3">
                    <w:rPr>
                      <w:rFonts w:ascii="Helvetica" w:eastAsia="Times New Roman" w:hAnsi="Helvetica" w:cs="Helvetica"/>
                      <w:b/>
                      <w:bCs/>
                      <w:color w:val="202020"/>
                      <w:sz w:val="33"/>
                      <w:szCs w:val="33"/>
                      <w:lang w:eastAsia="es-GT"/>
                    </w:rPr>
                    <w:t>Alto a los desalojos contra comunidades Mayas y respeto a los derechos de los Pueblos Indígenas sobre sus tierras, territorios y recursos</w:t>
                  </w:r>
                </w:p>
              </w:tc>
            </w:tr>
          </w:tbl>
          <w:p w14:paraId="6B2B7F85" w14:textId="77777777" w:rsidR="00481ED3" w:rsidRPr="00481ED3" w:rsidRDefault="00481ED3" w:rsidP="00481ED3">
            <w:pPr>
              <w:spacing w:after="0" w:line="240" w:lineRule="auto"/>
              <w:rPr>
                <w:rFonts w:ascii="Times New Roman" w:eastAsia="Times New Roman" w:hAnsi="Times New Roman" w:cs="Times New Roman"/>
                <w:color w:val="000000"/>
                <w:sz w:val="27"/>
                <w:szCs w:val="27"/>
                <w:lang w:eastAsia="es-GT"/>
              </w:rPr>
            </w:pPr>
          </w:p>
        </w:tc>
      </w:tr>
    </w:tbl>
    <w:p w14:paraId="5B5238B3" w14:textId="77777777" w:rsidR="00481ED3" w:rsidRPr="00481ED3" w:rsidRDefault="00481ED3" w:rsidP="00481ED3">
      <w:pPr>
        <w:spacing w:after="0" w:line="240" w:lineRule="auto"/>
        <w:rPr>
          <w:rFonts w:ascii="Times New Roman" w:eastAsia="Times New Roman" w:hAnsi="Times New Roman" w:cs="Times New Roman"/>
          <w:vanish/>
          <w:sz w:val="24"/>
          <w:szCs w:val="24"/>
          <w:lang w:eastAsia="es-GT"/>
        </w:rPr>
      </w:pPr>
    </w:p>
    <w:tbl>
      <w:tblPr>
        <w:tblW w:w="5000" w:type="pct"/>
        <w:shd w:val="clear" w:color="auto" w:fill="FFFFFF"/>
        <w:tblCellMar>
          <w:left w:w="0" w:type="dxa"/>
          <w:right w:w="0" w:type="dxa"/>
        </w:tblCellMar>
        <w:tblLook w:val="04A0" w:firstRow="1" w:lastRow="0" w:firstColumn="1" w:lastColumn="0" w:noHBand="0" w:noVBand="1"/>
      </w:tblPr>
      <w:tblGrid>
        <w:gridCol w:w="8838"/>
      </w:tblGrid>
      <w:tr w:rsidR="00481ED3" w:rsidRPr="00481ED3" w14:paraId="6CD17B20" w14:textId="77777777" w:rsidTr="00481ED3">
        <w:tc>
          <w:tcPr>
            <w:tcW w:w="0" w:type="auto"/>
            <w:shd w:val="clear" w:color="auto" w:fill="FFFFFF"/>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68"/>
            </w:tblGrid>
            <w:tr w:rsidR="00481ED3" w:rsidRPr="00481ED3" w14:paraId="0FD992B7" w14:textId="77777777">
              <w:tc>
                <w:tcPr>
                  <w:tcW w:w="0" w:type="auto"/>
                  <w:tcMar>
                    <w:top w:w="0" w:type="dxa"/>
                    <w:left w:w="135" w:type="dxa"/>
                    <w:bottom w:w="0" w:type="dxa"/>
                    <w:right w:w="135" w:type="dxa"/>
                  </w:tcMar>
                  <w:hideMark/>
                </w:tcPr>
                <w:p w14:paraId="7C562515" w14:textId="77777777" w:rsidR="00481ED3" w:rsidRPr="00481ED3" w:rsidRDefault="00481ED3" w:rsidP="00481ED3">
                  <w:pPr>
                    <w:spacing w:after="0" w:line="240" w:lineRule="auto"/>
                    <w:jc w:val="center"/>
                    <w:rPr>
                      <w:rFonts w:ascii="Times New Roman" w:eastAsia="Times New Roman" w:hAnsi="Times New Roman" w:cs="Times New Roman"/>
                      <w:sz w:val="24"/>
                      <w:szCs w:val="24"/>
                      <w:lang w:eastAsia="es-GT"/>
                    </w:rPr>
                  </w:pPr>
                  <w:r w:rsidRPr="00481ED3">
                    <w:rPr>
                      <w:rFonts w:ascii="Times New Roman" w:eastAsia="Times New Roman" w:hAnsi="Times New Roman" w:cs="Times New Roman"/>
                      <w:noProof/>
                      <w:sz w:val="24"/>
                      <w:szCs w:val="24"/>
                      <w:lang w:eastAsia="es-GT"/>
                    </w:rPr>
                    <w:drawing>
                      <wp:inline distT="0" distB="0" distL="0" distR="0" wp14:anchorId="4A61DC2B" wp14:editId="27483C55">
                        <wp:extent cx="5372100" cy="3009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72100" cy="3009900"/>
                                </a:xfrm>
                                <a:prstGeom prst="rect">
                                  <a:avLst/>
                                </a:prstGeom>
                                <a:noFill/>
                                <a:ln>
                                  <a:noFill/>
                                </a:ln>
                              </pic:spPr>
                            </pic:pic>
                          </a:graphicData>
                        </a:graphic>
                      </wp:inline>
                    </w:drawing>
                  </w:r>
                </w:p>
              </w:tc>
            </w:tr>
          </w:tbl>
          <w:p w14:paraId="28DE222A" w14:textId="77777777" w:rsidR="00481ED3" w:rsidRPr="00481ED3" w:rsidRDefault="00481ED3" w:rsidP="00481ED3">
            <w:pPr>
              <w:spacing w:after="0" w:line="240" w:lineRule="auto"/>
              <w:rPr>
                <w:rFonts w:ascii="Times New Roman" w:eastAsia="Times New Roman" w:hAnsi="Times New Roman" w:cs="Times New Roman"/>
                <w:color w:val="000000"/>
                <w:sz w:val="27"/>
                <w:szCs w:val="27"/>
                <w:lang w:eastAsia="es-GT"/>
              </w:rPr>
            </w:pPr>
          </w:p>
        </w:tc>
      </w:tr>
    </w:tbl>
    <w:p w14:paraId="3B6D5A9C" w14:textId="77777777" w:rsidR="00481ED3" w:rsidRPr="00481ED3" w:rsidRDefault="00481ED3" w:rsidP="00481ED3">
      <w:pPr>
        <w:spacing w:after="0" w:line="240" w:lineRule="auto"/>
        <w:rPr>
          <w:rFonts w:ascii="Times New Roman" w:eastAsia="Times New Roman" w:hAnsi="Times New Roman" w:cs="Times New Roman"/>
          <w:vanish/>
          <w:sz w:val="24"/>
          <w:szCs w:val="24"/>
          <w:lang w:eastAsia="es-GT"/>
        </w:rPr>
      </w:pPr>
    </w:p>
    <w:tbl>
      <w:tblPr>
        <w:tblW w:w="5000" w:type="pct"/>
        <w:shd w:val="clear" w:color="auto" w:fill="FFFFFF"/>
        <w:tblCellMar>
          <w:left w:w="0" w:type="dxa"/>
          <w:right w:w="0" w:type="dxa"/>
        </w:tblCellMar>
        <w:tblLook w:val="04A0" w:firstRow="1" w:lastRow="0" w:firstColumn="1" w:lastColumn="0" w:noHBand="0" w:noVBand="1"/>
      </w:tblPr>
      <w:tblGrid>
        <w:gridCol w:w="8838"/>
      </w:tblGrid>
      <w:tr w:rsidR="00481ED3" w:rsidRPr="00481ED3" w14:paraId="2C0F300F" w14:textId="77777777" w:rsidTr="00481ED3">
        <w:tc>
          <w:tcPr>
            <w:tcW w:w="0" w:type="auto"/>
            <w:shd w:val="clear" w:color="auto" w:fill="FFFFFF"/>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481ED3" w:rsidRPr="00481ED3" w14:paraId="6C41AA9C" w14:textId="77777777">
              <w:tc>
                <w:tcPr>
                  <w:tcW w:w="0" w:type="auto"/>
                  <w:tcMar>
                    <w:top w:w="0" w:type="dxa"/>
                    <w:left w:w="270" w:type="dxa"/>
                    <w:bottom w:w="135" w:type="dxa"/>
                    <w:right w:w="270" w:type="dxa"/>
                  </w:tcMar>
                  <w:hideMark/>
                </w:tcPr>
                <w:p w14:paraId="5400A69D" w14:textId="77777777" w:rsidR="001B6694" w:rsidRDefault="00481ED3" w:rsidP="00481ED3">
                  <w:pPr>
                    <w:spacing w:after="0" w:line="360" w:lineRule="atLeast"/>
                    <w:jc w:val="both"/>
                    <w:rPr>
                      <w:rFonts w:ascii="Helvetica" w:eastAsia="Times New Roman" w:hAnsi="Helvetica" w:cs="Helvetica"/>
                      <w:color w:val="202020"/>
                      <w:sz w:val="18"/>
                      <w:szCs w:val="18"/>
                      <w:lang w:eastAsia="es-GT"/>
                    </w:rPr>
                  </w:pPr>
                  <w:r w:rsidRPr="00481ED3">
                    <w:rPr>
                      <w:rFonts w:ascii="Helvetica" w:eastAsia="Times New Roman" w:hAnsi="Helvetica" w:cs="Helvetica"/>
                      <w:color w:val="202020"/>
                      <w:sz w:val="18"/>
                      <w:szCs w:val="18"/>
                      <w:lang w:eastAsia="es-GT"/>
                    </w:rPr>
                    <w:t>La organización internacional </w:t>
                  </w:r>
                  <w:r w:rsidRPr="00481ED3">
                    <w:rPr>
                      <w:rFonts w:ascii="Helvetica" w:eastAsia="Times New Roman" w:hAnsi="Helvetica" w:cs="Helvetica"/>
                      <w:b/>
                      <w:bCs/>
                      <w:color w:val="202020"/>
                      <w:sz w:val="18"/>
                      <w:szCs w:val="18"/>
                      <w:lang w:eastAsia="es-GT"/>
                    </w:rPr>
                    <w:t>Derechos de los Pueblos Indígenas Internacional</w:t>
                  </w:r>
                  <w:r w:rsidRPr="00481ED3">
                    <w:rPr>
                      <w:rFonts w:ascii="Helvetica" w:eastAsia="Times New Roman" w:hAnsi="Helvetica" w:cs="Helvetica"/>
                      <w:color w:val="202020"/>
                      <w:sz w:val="18"/>
                      <w:szCs w:val="18"/>
                      <w:lang w:eastAsia="es-GT"/>
                    </w:rPr>
                    <w:t> (IPRI, por sus siglas en inglés), cuya misión es hacer frente a la violencia y a la criminalización contra los pueblos indígenas, </w:t>
                  </w:r>
                  <w:r w:rsidRPr="00481ED3">
                    <w:rPr>
                      <w:rFonts w:ascii="Helvetica" w:eastAsia="Times New Roman" w:hAnsi="Helvetica" w:cs="Helvetica"/>
                      <w:b/>
                      <w:bCs/>
                      <w:color w:val="202020"/>
                      <w:sz w:val="18"/>
                      <w:szCs w:val="18"/>
                      <w:lang w:eastAsia="es-GT"/>
                    </w:rPr>
                    <w:t>hace un llamado urgente al Estado de Guatemala para que detenga los desalojos y las agresiones de las fuerzas de seguridad contra las comunidades maya Poqomchi y maya Q’eqchi de Sierra de Minas</w:t>
                  </w:r>
                  <w:r w:rsidRPr="00481ED3">
                    <w:rPr>
                      <w:rFonts w:ascii="Helvetica" w:eastAsia="Times New Roman" w:hAnsi="Helvetica" w:cs="Helvetica"/>
                      <w:color w:val="202020"/>
                      <w:sz w:val="18"/>
                      <w:szCs w:val="18"/>
                      <w:lang w:eastAsia="es-GT"/>
                    </w:rPr>
                    <w:t xml:space="preserve">, municipio de </w:t>
                  </w:r>
                  <w:proofErr w:type="spellStart"/>
                  <w:r w:rsidRPr="00481ED3">
                    <w:rPr>
                      <w:rFonts w:ascii="Helvetica" w:eastAsia="Times New Roman" w:hAnsi="Helvetica" w:cs="Helvetica"/>
                      <w:color w:val="202020"/>
                      <w:sz w:val="18"/>
                      <w:szCs w:val="18"/>
                      <w:lang w:eastAsia="es-GT"/>
                    </w:rPr>
                    <w:t>Purulha</w:t>
                  </w:r>
                  <w:proofErr w:type="spellEnd"/>
                  <w:r w:rsidRPr="00481ED3">
                    <w:rPr>
                      <w:rFonts w:ascii="Helvetica" w:eastAsia="Times New Roman" w:hAnsi="Helvetica" w:cs="Helvetica"/>
                      <w:color w:val="202020"/>
                      <w:sz w:val="18"/>
                      <w:szCs w:val="18"/>
                      <w:lang w:eastAsia="es-GT"/>
                    </w:rPr>
                    <w:t>, Baja Verapaz. El Gobierno de Guatemala debe reconocer, respetar y proteger los derechos de los pueblos indígenas sobre sus territorios ancestrales.</w:t>
                  </w:r>
                  <w:r w:rsidRPr="00481ED3">
                    <w:rPr>
                      <w:rFonts w:ascii="Helvetica" w:eastAsia="Times New Roman" w:hAnsi="Helvetica" w:cs="Helvetica"/>
                      <w:color w:val="202020"/>
                      <w:sz w:val="18"/>
                      <w:szCs w:val="18"/>
                      <w:lang w:eastAsia="es-GT"/>
                    </w:rPr>
                    <w:br/>
                    <w:t> </w:t>
                  </w:r>
                  <w:r w:rsidRPr="00481ED3">
                    <w:rPr>
                      <w:rFonts w:ascii="Helvetica" w:eastAsia="Times New Roman" w:hAnsi="Helvetica" w:cs="Helvetica"/>
                      <w:color w:val="202020"/>
                      <w:sz w:val="18"/>
                      <w:szCs w:val="18"/>
                      <w:lang w:eastAsia="es-GT"/>
                    </w:rPr>
                    <w:br/>
                    <w:t xml:space="preserve">De acuerdo con información que se nos ha hecho llegar directamente desde la zona mencionada, desde el pasado 21 de noviembre las y los habitantes de al menos 15 de comunidades indígenas estuvieron bajo un cerco militar y de la Policía Nacional Civil. Este cerco buscaba la detención de líderes indígenas mayas y el desalojo forzado de sus tierras en favor de finqueros, específicamente de la familia </w:t>
                  </w:r>
                  <w:proofErr w:type="spellStart"/>
                  <w:r w:rsidRPr="00481ED3">
                    <w:rPr>
                      <w:rFonts w:ascii="Helvetica" w:eastAsia="Times New Roman" w:hAnsi="Helvetica" w:cs="Helvetica"/>
                      <w:color w:val="202020"/>
                      <w:sz w:val="18"/>
                      <w:szCs w:val="18"/>
                      <w:lang w:eastAsia="es-GT"/>
                    </w:rPr>
                    <w:t>Thomae</w:t>
                  </w:r>
                  <w:proofErr w:type="spellEnd"/>
                  <w:r w:rsidRPr="00481ED3">
                    <w:rPr>
                      <w:rFonts w:ascii="Helvetica" w:eastAsia="Times New Roman" w:hAnsi="Helvetica" w:cs="Helvetica"/>
                      <w:color w:val="202020"/>
                      <w:sz w:val="18"/>
                      <w:szCs w:val="18"/>
                      <w:lang w:eastAsia="es-GT"/>
                    </w:rPr>
                    <w:t>, y de la instalación de empresas extractivistas.</w:t>
                  </w:r>
                </w:p>
                <w:p w14:paraId="46A0D7C6" w14:textId="77777777" w:rsidR="001B6694" w:rsidRDefault="00481ED3" w:rsidP="00481ED3">
                  <w:pPr>
                    <w:spacing w:after="0" w:line="360" w:lineRule="atLeast"/>
                    <w:jc w:val="both"/>
                    <w:rPr>
                      <w:rFonts w:ascii="Helvetica" w:eastAsia="Times New Roman" w:hAnsi="Helvetica" w:cs="Helvetica"/>
                      <w:color w:val="202020"/>
                      <w:sz w:val="18"/>
                      <w:szCs w:val="18"/>
                      <w:lang w:eastAsia="es-GT"/>
                    </w:rPr>
                  </w:pPr>
                  <w:r w:rsidRPr="00481ED3">
                    <w:rPr>
                      <w:rFonts w:ascii="Helvetica" w:eastAsia="Times New Roman" w:hAnsi="Helvetica" w:cs="Helvetica"/>
                      <w:color w:val="202020"/>
                      <w:sz w:val="18"/>
                      <w:szCs w:val="18"/>
                      <w:lang w:eastAsia="es-GT"/>
                    </w:rPr>
                    <w:t> </w:t>
                  </w:r>
                  <w:r w:rsidRPr="00481ED3">
                    <w:rPr>
                      <w:rFonts w:ascii="Helvetica" w:eastAsia="Times New Roman" w:hAnsi="Helvetica" w:cs="Helvetica"/>
                      <w:color w:val="202020"/>
                      <w:sz w:val="18"/>
                      <w:szCs w:val="18"/>
                      <w:lang w:eastAsia="es-GT"/>
                    </w:rPr>
                    <w:br/>
                    <w:t xml:space="preserve">El cerco de las fuerzas de seguridad afectó directamente a 15 comunidades -entre ellas: </w:t>
                  </w:r>
                  <w:proofErr w:type="spellStart"/>
                  <w:r w:rsidRPr="00481ED3">
                    <w:rPr>
                      <w:rFonts w:ascii="Helvetica" w:eastAsia="Times New Roman" w:hAnsi="Helvetica" w:cs="Helvetica"/>
                      <w:color w:val="202020"/>
                      <w:sz w:val="18"/>
                      <w:szCs w:val="18"/>
                      <w:lang w:eastAsia="es-GT"/>
                    </w:rPr>
                    <w:t>Pancoc</w:t>
                  </w:r>
                  <w:proofErr w:type="spellEnd"/>
                  <w:r w:rsidRPr="00481ED3">
                    <w:rPr>
                      <w:rFonts w:ascii="Helvetica" w:eastAsia="Times New Roman" w:hAnsi="Helvetica" w:cs="Helvetica"/>
                      <w:color w:val="202020"/>
                      <w:sz w:val="18"/>
                      <w:szCs w:val="18"/>
                      <w:lang w:eastAsia="es-GT"/>
                    </w:rPr>
                    <w:t xml:space="preserve">, </w:t>
                  </w:r>
                  <w:proofErr w:type="spellStart"/>
                  <w:r w:rsidRPr="00481ED3">
                    <w:rPr>
                      <w:rFonts w:ascii="Helvetica" w:eastAsia="Times New Roman" w:hAnsi="Helvetica" w:cs="Helvetica"/>
                      <w:color w:val="202020"/>
                      <w:sz w:val="18"/>
                      <w:szCs w:val="18"/>
                      <w:lang w:eastAsia="es-GT"/>
                    </w:rPr>
                    <w:t>Monjón</w:t>
                  </w:r>
                  <w:proofErr w:type="spellEnd"/>
                  <w:r w:rsidRPr="00481ED3">
                    <w:rPr>
                      <w:rFonts w:ascii="Helvetica" w:eastAsia="Times New Roman" w:hAnsi="Helvetica" w:cs="Helvetica"/>
                      <w:color w:val="202020"/>
                      <w:sz w:val="18"/>
                      <w:szCs w:val="18"/>
                      <w:lang w:eastAsia="es-GT"/>
                    </w:rPr>
                    <w:t xml:space="preserve">, Santa Rita, Washington, Dos Fuentes, </w:t>
                  </w:r>
                  <w:proofErr w:type="spellStart"/>
                  <w:r w:rsidRPr="00481ED3">
                    <w:rPr>
                      <w:rFonts w:ascii="Helvetica" w:eastAsia="Times New Roman" w:hAnsi="Helvetica" w:cs="Helvetica"/>
                      <w:color w:val="202020"/>
                      <w:sz w:val="18"/>
                      <w:szCs w:val="18"/>
                      <w:lang w:eastAsia="es-GT"/>
                    </w:rPr>
                    <w:t>Kalijá</w:t>
                  </w:r>
                  <w:proofErr w:type="spellEnd"/>
                  <w:r w:rsidRPr="00481ED3">
                    <w:rPr>
                      <w:rFonts w:ascii="Helvetica" w:eastAsia="Times New Roman" w:hAnsi="Helvetica" w:cs="Helvetica"/>
                      <w:color w:val="202020"/>
                      <w:sz w:val="18"/>
                      <w:szCs w:val="18"/>
                      <w:lang w:eastAsia="es-GT"/>
                    </w:rPr>
                    <w:t xml:space="preserve"> y </w:t>
                  </w:r>
                  <w:proofErr w:type="spellStart"/>
                  <w:r w:rsidRPr="00481ED3">
                    <w:rPr>
                      <w:rFonts w:ascii="Helvetica" w:eastAsia="Times New Roman" w:hAnsi="Helvetica" w:cs="Helvetica"/>
                      <w:color w:val="202020"/>
                      <w:sz w:val="18"/>
                      <w:szCs w:val="18"/>
                      <w:lang w:eastAsia="es-GT"/>
                    </w:rPr>
                    <w:t>Moxante</w:t>
                  </w:r>
                  <w:proofErr w:type="spellEnd"/>
                  <w:r w:rsidRPr="00481ED3">
                    <w:rPr>
                      <w:rFonts w:ascii="Helvetica" w:eastAsia="Times New Roman" w:hAnsi="Helvetica" w:cs="Helvetica"/>
                      <w:color w:val="202020"/>
                      <w:sz w:val="18"/>
                      <w:szCs w:val="18"/>
                      <w:lang w:eastAsia="es-GT"/>
                    </w:rPr>
                    <w:t xml:space="preserve">- e impactó indirectamente a 80 comunidades </w:t>
                  </w:r>
                  <w:r w:rsidRPr="00481ED3">
                    <w:rPr>
                      <w:rFonts w:ascii="Helvetica" w:eastAsia="Times New Roman" w:hAnsi="Helvetica" w:cs="Helvetica"/>
                      <w:color w:val="202020"/>
                      <w:sz w:val="18"/>
                      <w:szCs w:val="18"/>
                      <w:lang w:eastAsia="es-GT"/>
                    </w:rPr>
                    <w:lastRenderedPageBreak/>
                    <w:t xml:space="preserve">más. Habitantes de las comunidades de </w:t>
                  </w:r>
                  <w:proofErr w:type="spellStart"/>
                  <w:r w:rsidRPr="00481ED3">
                    <w:rPr>
                      <w:rFonts w:ascii="Helvetica" w:eastAsia="Times New Roman" w:hAnsi="Helvetica" w:cs="Helvetica"/>
                      <w:color w:val="202020"/>
                      <w:sz w:val="18"/>
                      <w:szCs w:val="18"/>
                      <w:lang w:eastAsia="es-GT"/>
                    </w:rPr>
                    <w:t>Pancoc</w:t>
                  </w:r>
                  <w:proofErr w:type="spellEnd"/>
                  <w:r w:rsidRPr="00481ED3">
                    <w:rPr>
                      <w:rFonts w:ascii="Helvetica" w:eastAsia="Times New Roman" w:hAnsi="Helvetica" w:cs="Helvetica"/>
                      <w:color w:val="202020"/>
                      <w:sz w:val="18"/>
                      <w:szCs w:val="18"/>
                      <w:lang w:eastAsia="es-GT"/>
                    </w:rPr>
                    <w:t xml:space="preserve"> y </w:t>
                  </w:r>
                  <w:proofErr w:type="spellStart"/>
                  <w:r w:rsidRPr="00481ED3">
                    <w:rPr>
                      <w:rFonts w:ascii="Helvetica" w:eastAsia="Times New Roman" w:hAnsi="Helvetica" w:cs="Helvetica"/>
                      <w:color w:val="202020"/>
                      <w:sz w:val="18"/>
                      <w:szCs w:val="18"/>
                      <w:lang w:eastAsia="es-GT"/>
                    </w:rPr>
                    <w:t>Monjón</w:t>
                  </w:r>
                  <w:proofErr w:type="spellEnd"/>
                  <w:r w:rsidRPr="00481ED3">
                    <w:rPr>
                      <w:rFonts w:ascii="Helvetica" w:eastAsia="Times New Roman" w:hAnsi="Helvetica" w:cs="Helvetica"/>
                      <w:color w:val="202020"/>
                      <w:sz w:val="18"/>
                      <w:szCs w:val="18"/>
                      <w:lang w:eastAsia="es-GT"/>
                    </w:rPr>
                    <w:t xml:space="preserve"> se vieron obligadas a huir de sus hogares ante la violenta incursión de las fuerzas de seguridad.</w:t>
                  </w:r>
                </w:p>
                <w:p w14:paraId="58399C96" w14:textId="77777777" w:rsidR="001B6694" w:rsidRDefault="00481ED3" w:rsidP="00481ED3">
                  <w:pPr>
                    <w:spacing w:after="0" w:line="360" w:lineRule="atLeast"/>
                    <w:jc w:val="both"/>
                    <w:rPr>
                      <w:rFonts w:ascii="Helvetica" w:eastAsia="Times New Roman" w:hAnsi="Helvetica" w:cs="Helvetica"/>
                      <w:color w:val="202020"/>
                      <w:sz w:val="18"/>
                      <w:szCs w:val="18"/>
                      <w:lang w:eastAsia="es-GT"/>
                    </w:rPr>
                  </w:pPr>
                  <w:r w:rsidRPr="00481ED3">
                    <w:rPr>
                      <w:rFonts w:ascii="Helvetica" w:eastAsia="Times New Roman" w:hAnsi="Helvetica" w:cs="Helvetica"/>
                      <w:color w:val="202020"/>
                      <w:sz w:val="18"/>
                      <w:szCs w:val="18"/>
                      <w:lang w:eastAsia="es-GT"/>
                    </w:rPr>
                    <w:t> </w:t>
                  </w:r>
                  <w:r w:rsidRPr="00481ED3">
                    <w:rPr>
                      <w:rFonts w:ascii="Helvetica" w:eastAsia="Times New Roman" w:hAnsi="Helvetica" w:cs="Helvetica"/>
                      <w:color w:val="202020"/>
                      <w:sz w:val="18"/>
                      <w:szCs w:val="18"/>
                      <w:lang w:eastAsia="es-GT"/>
                    </w:rPr>
                    <w:br/>
                    <w:t>Aunque el cerco de más de 2 mil policías y militares fue retirado, </w:t>
                  </w:r>
                  <w:r w:rsidRPr="00481ED3">
                    <w:rPr>
                      <w:rFonts w:ascii="Helvetica" w:eastAsia="Times New Roman" w:hAnsi="Helvetica" w:cs="Helvetica"/>
                      <w:b/>
                      <w:bCs/>
                      <w:color w:val="202020"/>
                      <w:sz w:val="18"/>
                      <w:szCs w:val="18"/>
                      <w:lang w:eastAsia="es-GT"/>
                    </w:rPr>
                    <w:t>las amenazas de desalojo continúan y un grupo de civiles armados al servicio de los finqueros continúa atemorizando</w:t>
                  </w:r>
                  <w:r w:rsidRPr="00481ED3">
                    <w:rPr>
                      <w:rFonts w:ascii="Helvetica" w:eastAsia="Times New Roman" w:hAnsi="Helvetica" w:cs="Helvetica"/>
                      <w:color w:val="202020"/>
                      <w:sz w:val="18"/>
                      <w:szCs w:val="18"/>
                      <w:lang w:eastAsia="es-GT"/>
                    </w:rPr>
                    <w:t> a las comunidades. También permanece el destacamento militar instalado desde 2012 en las tierras ocupadas por los terratenientes.</w:t>
                  </w:r>
                </w:p>
                <w:p w14:paraId="1F5026F4" w14:textId="77777777" w:rsidR="001B6694" w:rsidRDefault="00481ED3" w:rsidP="00481ED3">
                  <w:pPr>
                    <w:spacing w:after="0" w:line="360" w:lineRule="atLeast"/>
                    <w:jc w:val="both"/>
                    <w:rPr>
                      <w:rFonts w:ascii="Helvetica" w:eastAsia="Times New Roman" w:hAnsi="Helvetica" w:cs="Helvetica"/>
                      <w:color w:val="202020"/>
                      <w:sz w:val="18"/>
                      <w:szCs w:val="18"/>
                      <w:lang w:eastAsia="es-GT"/>
                    </w:rPr>
                  </w:pPr>
                  <w:r w:rsidRPr="00481ED3">
                    <w:rPr>
                      <w:rFonts w:ascii="Helvetica" w:eastAsia="Times New Roman" w:hAnsi="Helvetica" w:cs="Helvetica"/>
                      <w:color w:val="202020"/>
                      <w:sz w:val="18"/>
                      <w:szCs w:val="18"/>
                      <w:lang w:eastAsia="es-GT"/>
                    </w:rPr>
                    <w:t> </w:t>
                  </w:r>
                  <w:r w:rsidRPr="00481ED3">
                    <w:rPr>
                      <w:rFonts w:ascii="Helvetica" w:eastAsia="Times New Roman" w:hAnsi="Helvetica" w:cs="Helvetica"/>
                      <w:color w:val="202020"/>
                      <w:sz w:val="18"/>
                      <w:szCs w:val="18"/>
                      <w:lang w:eastAsia="es-GT"/>
                    </w:rPr>
                    <w:br/>
                    <w:t>De acuerdo con testimonios de las y los habitantes, </w:t>
                  </w:r>
                  <w:r w:rsidRPr="00481ED3">
                    <w:rPr>
                      <w:rFonts w:ascii="Helvetica" w:eastAsia="Times New Roman" w:hAnsi="Helvetica" w:cs="Helvetica"/>
                      <w:b/>
                      <w:bCs/>
                      <w:color w:val="202020"/>
                      <w:sz w:val="18"/>
                      <w:szCs w:val="18"/>
                      <w:lang w:eastAsia="es-GT"/>
                    </w:rPr>
                    <w:t>los policías y los militares quemaron propiedades y ganado de los indígenas mayas. Impidieron su libre circulación, incluyendo la entrada de bienes, aterrorizaron a las comunidades e impidieron que las personas vendieran sus productos agrícolas y obtuvieran alimentos y servicios de salud.</w:t>
                  </w:r>
                  <w:r w:rsidRPr="00481ED3">
                    <w:rPr>
                      <w:rFonts w:ascii="Helvetica" w:eastAsia="Times New Roman" w:hAnsi="Helvetica" w:cs="Helvetica"/>
                      <w:color w:val="202020"/>
                      <w:sz w:val="18"/>
                      <w:szCs w:val="18"/>
                      <w:lang w:eastAsia="es-GT"/>
                    </w:rPr>
                    <w:br/>
                    <w:t> </w:t>
                  </w:r>
                  <w:r w:rsidRPr="00481ED3">
                    <w:rPr>
                      <w:rFonts w:ascii="Helvetica" w:eastAsia="Times New Roman" w:hAnsi="Helvetica" w:cs="Helvetica"/>
                      <w:color w:val="202020"/>
                      <w:sz w:val="18"/>
                      <w:szCs w:val="18"/>
                      <w:lang w:eastAsia="es-GT"/>
                    </w:rPr>
                    <w:br/>
                    <w:t>Estas graves violaciones a los derechos individuales y colectivos de las y los indígenas mayas continúan a pesar de que la</w:t>
                  </w:r>
                  <w:r w:rsidRPr="00481ED3">
                    <w:rPr>
                      <w:rFonts w:ascii="Helvetica" w:eastAsia="Times New Roman" w:hAnsi="Helvetica" w:cs="Helvetica"/>
                      <w:b/>
                      <w:bCs/>
                      <w:color w:val="202020"/>
                      <w:sz w:val="18"/>
                      <w:szCs w:val="18"/>
                      <w:lang w:eastAsia="es-GT"/>
                    </w:rPr>
                    <w:t> Comisión Interamericana de Derechos Humanos (CIDH) emitió el 14 de octubre de 2020 la Resolución 67/2020, mediante la cual otorgó medidas cautelares</w:t>
                  </w:r>
                  <w:r w:rsidRPr="00481ED3">
                    <w:rPr>
                      <w:rFonts w:ascii="Helvetica" w:eastAsia="Times New Roman" w:hAnsi="Helvetica" w:cs="Helvetica"/>
                      <w:color w:val="202020"/>
                      <w:sz w:val="18"/>
                      <w:szCs w:val="18"/>
                      <w:lang w:eastAsia="es-GT"/>
                    </w:rPr>
                    <w:t> a favor de familias indígenas maya Poqomchi´ de las comunidades Washington y Dos Fuentes. La resolución advirtió de una situación de urgencia por la que los derechos a la vida e integridad personal están en riesgo.</w:t>
                  </w:r>
                  <w:r w:rsidRPr="00481ED3">
                    <w:rPr>
                      <w:rFonts w:ascii="Helvetica" w:eastAsia="Times New Roman" w:hAnsi="Helvetica" w:cs="Helvetica"/>
                      <w:color w:val="202020"/>
                      <w:sz w:val="18"/>
                      <w:szCs w:val="18"/>
                      <w:lang w:eastAsia="es-GT"/>
                    </w:rPr>
                    <w:br/>
                    <w:t> </w:t>
                  </w:r>
                  <w:r w:rsidRPr="00481ED3">
                    <w:rPr>
                      <w:rFonts w:ascii="Helvetica" w:eastAsia="Times New Roman" w:hAnsi="Helvetica" w:cs="Helvetica"/>
                      <w:color w:val="202020"/>
                      <w:sz w:val="18"/>
                      <w:szCs w:val="18"/>
                      <w:lang w:eastAsia="es-GT"/>
                    </w:rPr>
                    <w:br/>
                    <w:t xml:space="preserve">Estas acciones incluyen el desconocimiento absoluto del derecho colectivo de los pueblos indígenas mayas sobre sus tierras ancestrales, </w:t>
                  </w:r>
                  <w:proofErr w:type="spellStart"/>
                  <w:r w:rsidRPr="00481ED3">
                    <w:rPr>
                      <w:rFonts w:ascii="Helvetica" w:eastAsia="Times New Roman" w:hAnsi="Helvetica" w:cs="Helvetica"/>
                      <w:color w:val="202020"/>
                      <w:sz w:val="18"/>
                      <w:szCs w:val="18"/>
                      <w:lang w:eastAsia="es-GT"/>
                    </w:rPr>
                    <w:t>teritorios</w:t>
                  </w:r>
                  <w:proofErr w:type="spellEnd"/>
                  <w:r w:rsidRPr="00481ED3">
                    <w:rPr>
                      <w:rFonts w:ascii="Helvetica" w:eastAsia="Times New Roman" w:hAnsi="Helvetica" w:cs="Helvetica"/>
                      <w:color w:val="202020"/>
                      <w:sz w:val="18"/>
                      <w:szCs w:val="18"/>
                      <w:lang w:eastAsia="es-GT"/>
                    </w:rPr>
                    <w:t xml:space="preserve"> y recursos y su derecho a reclamar y recuperar legítimamente sus tierras ancestrales. Estas tierras les fueron arrebatadas en favor de finqueros alemanes desde 1800, ignorando los títulos que reconocen la propiedad comunal de las comunidades mayas desde tiempos de la Corona española y la independencia, y reclamando en cambio esta propiedad comunal como propiedad privada. Las acciones emprendidas por los indígenas mayas para proteger y defender sus territorios han incluido tanto el litigio judicial como la afirmación de su derecho a la autonomía y el rechazo a la instalación de proyectos extractivistas, como hidroeléctricas.</w:t>
                  </w:r>
                  <w:r w:rsidRPr="00481ED3">
                    <w:rPr>
                      <w:rFonts w:ascii="Helvetica" w:eastAsia="Times New Roman" w:hAnsi="Helvetica" w:cs="Helvetica"/>
                      <w:color w:val="202020"/>
                      <w:sz w:val="18"/>
                      <w:szCs w:val="18"/>
                      <w:lang w:eastAsia="es-GT"/>
                    </w:rPr>
                    <w:br/>
                    <w:t> </w:t>
                  </w:r>
                  <w:r w:rsidRPr="00481ED3">
                    <w:rPr>
                      <w:rFonts w:ascii="Helvetica" w:eastAsia="Times New Roman" w:hAnsi="Helvetica" w:cs="Helvetica"/>
                      <w:color w:val="202020"/>
                      <w:sz w:val="18"/>
                      <w:szCs w:val="18"/>
                      <w:lang w:eastAsia="es-GT"/>
                    </w:rPr>
                    <w:br/>
                    <w:t xml:space="preserve">Las legítimas demandas de estas comunidades indígenas han sido respondidas con acciones injustas por parte de las autoridades y los finqueros con una serie de intentos de desalojo en los años 2009, 2015, 2021 y 2022. Las comunidades que en concreto han sido objeto de estos intentos son Washington, Dos Fuentes y </w:t>
                  </w:r>
                  <w:proofErr w:type="spellStart"/>
                  <w:r w:rsidRPr="00481ED3">
                    <w:rPr>
                      <w:rFonts w:ascii="Helvetica" w:eastAsia="Times New Roman" w:hAnsi="Helvetica" w:cs="Helvetica"/>
                      <w:color w:val="202020"/>
                      <w:sz w:val="18"/>
                      <w:szCs w:val="18"/>
                      <w:lang w:eastAsia="es-GT"/>
                    </w:rPr>
                    <w:t>Panzal</w:t>
                  </w:r>
                  <w:proofErr w:type="spellEnd"/>
                  <w:r w:rsidRPr="00481ED3">
                    <w:rPr>
                      <w:rFonts w:ascii="Helvetica" w:eastAsia="Times New Roman" w:hAnsi="Helvetica" w:cs="Helvetica"/>
                      <w:color w:val="202020"/>
                      <w:sz w:val="18"/>
                      <w:szCs w:val="18"/>
                      <w:lang w:eastAsia="es-GT"/>
                    </w:rPr>
                    <w:t>, Estas comunidades han sido objeto de desapariciones, criminalización, asesinato de líderes comunitarios e instalación de destacamentos militares. La situación ha empeorado con la llegada del crimen organizado, que se ha asentado sobre las estructuras paramilitares responsables de masacres durante el periodo de la contrainsurgencia.</w:t>
                  </w:r>
                </w:p>
                <w:p w14:paraId="6D39E05F" w14:textId="60F32A04" w:rsidR="00481ED3" w:rsidRPr="00481ED3" w:rsidRDefault="00481ED3" w:rsidP="00481ED3">
                  <w:pPr>
                    <w:spacing w:after="0" w:line="360" w:lineRule="atLeast"/>
                    <w:jc w:val="both"/>
                    <w:rPr>
                      <w:rFonts w:ascii="Helvetica" w:eastAsia="Times New Roman" w:hAnsi="Helvetica" w:cs="Helvetica"/>
                      <w:color w:val="202020"/>
                      <w:sz w:val="24"/>
                      <w:szCs w:val="24"/>
                      <w:lang w:eastAsia="es-GT"/>
                    </w:rPr>
                  </w:pPr>
                  <w:r w:rsidRPr="00481ED3">
                    <w:rPr>
                      <w:rFonts w:ascii="Helvetica" w:eastAsia="Times New Roman" w:hAnsi="Helvetica" w:cs="Helvetica"/>
                      <w:color w:val="202020"/>
                      <w:sz w:val="18"/>
                      <w:szCs w:val="18"/>
                      <w:lang w:eastAsia="es-GT"/>
                    </w:rPr>
                    <w:t> </w:t>
                  </w:r>
                  <w:r w:rsidRPr="00481ED3">
                    <w:rPr>
                      <w:rFonts w:ascii="Helvetica" w:eastAsia="Times New Roman" w:hAnsi="Helvetica" w:cs="Helvetica"/>
                      <w:color w:val="202020"/>
                      <w:sz w:val="18"/>
                      <w:szCs w:val="18"/>
                      <w:lang w:eastAsia="es-GT"/>
                    </w:rPr>
                    <w:br/>
                    <w:t>Las comunidades han denunciado que la militarización de su territorio no ha buscado proporcionarles seguridad, sino garantizar la implantación de proyectos extractivistas y el despojo de sus tierras por los finqueros.</w:t>
                  </w:r>
                  <w:r w:rsidRPr="00481ED3">
                    <w:rPr>
                      <w:rFonts w:ascii="Helvetica" w:eastAsia="Times New Roman" w:hAnsi="Helvetica" w:cs="Helvetica"/>
                      <w:color w:val="202020"/>
                      <w:sz w:val="18"/>
                      <w:szCs w:val="18"/>
                      <w:lang w:eastAsia="es-GT"/>
                    </w:rPr>
                    <w:br/>
                    <w:t> </w:t>
                  </w:r>
                  <w:r w:rsidRPr="00481ED3">
                    <w:rPr>
                      <w:rFonts w:ascii="Helvetica" w:eastAsia="Times New Roman" w:hAnsi="Helvetica" w:cs="Helvetica"/>
                      <w:color w:val="202020"/>
                      <w:sz w:val="18"/>
                      <w:szCs w:val="18"/>
                      <w:lang w:eastAsia="es-GT"/>
                    </w:rPr>
                    <w:br/>
                  </w:r>
                  <w:r w:rsidRPr="00481ED3">
                    <w:rPr>
                      <w:rFonts w:ascii="Helvetica" w:eastAsia="Times New Roman" w:hAnsi="Helvetica" w:cs="Helvetica"/>
                      <w:b/>
                      <w:bCs/>
                      <w:color w:val="202020"/>
                      <w:sz w:val="18"/>
                      <w:szCs w:val="18"/>
                      <w:lang w:eastAsia="es-GT"/>
                    </w:rPr>
                    <w:t>En este contexto,</w:t>
                  </w:r>
                  <w:r w:rsidRPr="00481ED3">
                    <w:rPr>
                      <w:rFonts w:ascii="Helvetica" w:eastAsia="Times New Roman" w:hAnsi="Helvetica" w:cs="Helvetica"/>
                      <w:color w:val="202020"/>
                      <w:sz w:val="18"/>
                      <w:szCs w:val="18"/>
                      <w:lang w:eastAsia="es-GT"/>
                    </w:rPr>
                    <w:t> y considerando las obligaciones internacionales en materia de derechos humanos del Estado guatemalteco a la luz de la adopción de la Declaración de las Naciones Unidas sobre los derechos de los pueblos indígenas, de la Declaración Americana sobre los Derechos de los Pueblos Indígenas, del Convenio 169 de la OIT y del propio marco constitucional guatemalteco, IPRI:</w:t>
                  </w:r>
                  <w:r w:rsidRPr="00481ED3">
                    <w:rPr>
                      <w:rFonts w:ascii="Helvetica" w:eastAsia="Times New Roman" w:hAnsi="Helvetica" w:cs="Helvetica"/>
                      <w:color w:val="202020"/>
                      <w:sz w:val="18"/>
                      <w:szCs w:val="18"/>
                      <w:lang w:eastAsia="es-GT"/>
                    </w:rPr>
                    <w:br/>
                    <w:t> </w:t>
                  </w:r>
                </w:p>
                <w:p w14:paraId="60618436" w14:textId="77777777" w:rsidR="00481ED3" w:rsidRPr="00481ED3" w:rsidRDefault="00481ED3" w:rsidP="00481ED3">
                  <w:pPr>
                    <w:numPr>
                      <w:ilvl w:val="0"/>
                      <w:numId w:val="1"/>
                    </w:numPr>
                    <w:spacing w:before="100" w:beforeAutospacing="1" w:after="100" w:afterAutospacing="1" w:line="360" w:lineRule="atLeast"/>
                    <w:jc w:val="both"/>
                    <w:rPr>
                      <w:rFonts w:ascii="Helvetica" w:eastAsia="Times New Roman" w:hAnsi="Helvetica" w:cs="Helvetica"/>
                      <w:color w:val="202020"/>
                      <w:sz w:val="24"/>
                      <w:szCs w:val="24"/>
                      <w:lang w:eastAsia="es-GT"/>
                    </w:rPr>
                  </w:pPr>
                  <w:r w:rsidRPr="00481ED3">
                    <w:rPr>
                      <w:rFonts w:ascii="Helvetica" w:eastAsia="Times New Roman" w:hAnsi="Helvetica" w:cs="Helvetica"/>
                      <w:b/>
                      <w:bCs/>
                      <w:color w:val="202020"/>
                      <w:sz w:val="18"/>
                      <w:szCs w:val="18"/>
                      <w:lang w:eastAsia="es-GT"/>
                    </w:rPr>
                    <w:t>Apoya la demanda urgente de desmilitarización</w:t>
                  </w:r>
                  <w:r w:rsidRPr="00481ED3">
                    <w:rPr>
                      <w:rFonts w:ascii="Helvetica" w:eastAsia="Times New Roman" w:hAnsi="Helvetica" w:cs="Helvetica"/>
                      <w:color w:val="202020"/>
                      <w:sz w:val="18"/>
                      <w:szCs w:val="18"/>
                      <w:lang w:eastAsia="es-GT"/>
                    </w:rPr>
                    <w:t> de Sierra de Mina expresada por las comunidades indígenas mayas afectadas.</w:t>
                  </w:r>
                </w:p>
                <w:p w14:paraId="1819F472" w14:textId="77777777" w:rsidR="00481ED3" w:rsidRPr="00481ED3" w:rsidRDefault="00481ED3" w:rsidP="00481ED3">
                  <w:pPr>
                    <w:numPr>
                      <w:ilvl w:val="0"/>
                      <w:numId w:val="1"/>
                    </w:numPr>
                    <w:spacing w:before="100" w:beforeAutospacing="1" w:after="100" w:afterAutospacing="1" w:line="360" w:lineRule="atLeast"/>
                    <w:jc w:val="both"/>
                    <w:rPr>
                      <w:rFonts w:ascii="Helvetica" w:eastAsia="Times New Roman" w:hAnsi="Helvetica" w:cs="Helvetica"/>
                      <w:color w:val="202020"/>
                      <w:sz w:val="24"/>
                      <w:szCs w:val="24"/>
                      <w:lang w:eastAsia="es-GT"/>
                    </w:rPr>
                  </w:pPr>
                  <w:r w:rsidRPr="00481ED3">
                    <w:rPr>
                      <w:rFonts w:ascii="Helvetica" w:eastAsia="Times New Roman" w:hAnsi="Helvetica" w:cs="Helvetica"/>
                      <w:b/>
                      <w:bCs/>
                      <w:color w:val="202020"/>
                      <w:sz w:val="18"/>
                      <w:szCs w:val="18"/>
                      <w:lang w:eastAsia="es-GT"/>
                    </w:rPr>
                    <w:t>Exige al Estado de Guatemala el cese inmediato de las órdenes de desalojo</w:t>
                  </w:r>
                  <w:r w:rsidRPr="00481ED3">
                    <w:rPr>
                      <w:rFonts w:ascii="Helvetica" w:eastAsia="Times New Roman" w:hAnsi="Helvetica" w:cs="Helvetica"/>
                      <w:color w:val="202020"/>
                      <w:sz w:val="18"/>
                      <w:szCs w:val="18"/>
                      <w:lang w:eastAsia="es-GT"/>
                    </w:rPr>
                    <w:t>, así como de la violencia y la criminalización contra las comunidades mencionadas.</w:t>
                  </w:r>
                </w:p>
                <w:p w14:paraId="36C37150" w14:textId="77777777" w:rsidR="00481ED3" w:rsidRPr="00481ED3" w:rsidRDefault="00481ED3" w:rsidP="00481ED3">
                  <w:pPr>
                    <w:numPr>
                      <w:ilvl w:val="0"/>
                      <w:numId w:val="1"/>
                    </w:numPr>
                    <w:spacing w:before="100" w:beforeAutospacing="1" w:after="100" w:afterAutospacing="1" w:line="360" w:lineRule="atLeast"/>
                    <w:jc w:val="both"/>
                    <w:rPr>
                      <w:rFonts w:ascii="Helvetica" w:eastAsia="Times New Roman" w:hAnsi="Helvetica" w:cs="Helvetica"/>
                      <w:color w:val="202020"/>
                      <w:sz w:val="24"/>
                      <w:szCs w:val="24"/>
                      <w:lang w:eastAsia="es-GT"/>
                    </w:rPr>
                  </w:pPr>
                  <w:r w:rsidRPr="00481ED3">
                    <w:rPr>
                      <w:rFonts w:ascii="Helvetica" w:eastAsia="Times New Roman" w:hAnsi="Helvetica" w:cs="Helvetica"/>
                      <w:b/>
                      <w:bCs/>
                      <w:color w:val="202020"/>
                      <w:sz w:val="18"/>
                      <w:szCs w:val="18"/>
                      <w:lang w:eastAsia="es-GT"/>
                    </w:rPr>
                    <w:t>Insta a las autoridades responsables</w:t>
                  </w:r>
                  <w:r w:rsidRPr="00481ED3">
                    <w:rPr>
                      <w:rFonts w:ascii="Helvetica" w:eastAsia="Times New Roman" w:hAnsi="Helvetica" w:cs="Helvetica"/>
                      <w:color w:val="202020"/>
                      <w:sz w:val="18"/>
                      <w:szCs w:val="18"/>
                      <w:lang w:eastAsia="es-GT"/>
                    </w:rPr>
                    <w:t> a cumplir las medidas cautelares emitidas por la CIDH en 2020.</w:t>
                  </w:r>
                </w:p>
                <w:p w14:paraId="02DED0E0" w14:textId="77777777" w:rsidR="00481ED3" w:rsidRPr="00481ED3" w:rsidRDefault="00481ED3" w:rsidP="00481ED3">
                  <w:pPr>
                    <w:numPr>
                      <w:ilvl w:val="0"/>
                      <w:numId w:val="1"/>
                    </w:numPr>
                    <w:spacing w:before="100" w:beforeAutospacing="1" w:after="100" w:afterAutospacing="1" w:line="360" w:lineRule="atLeast"/>
                    <w:jc w:val="both"/>
                    <w:rPr>
                      <w:rFonts w:ascii="Helvetica" w:eastAsia="Times New Roman" w:hAnsi="Helvetica" w:cs="Helvetica"/>
                      <w:color w:val="202020"/>
                      <w:sz w:val="24"/>
                      <w:szCs w:val="24"/>
                      <w:lang w:eastAsia="es-GT"/>
                    </w:rPr>
                  </w:pPr>
                  <w:r w:rsidRPr="00481ED3">
                    <w:rPr>
                      <w:rFonts w:ascii="Helvetica" w:eastAsia="Times New Roman" w:hAnsi="Helvetica" w:cs="Helvetica"/>
                      <w:color w:val="202020"/>
                      <w:sz w:val="18"/>
                      <w:szCs w:val="18"/>
                      <w:lang w:eastAsia="es-GT"/>
                    </w:rPr>
                    <w:t>Exige el desmantelamiento</w:t>
                  </w:r>
                  <w:r w:rsidRPr="00481ED3">
                    <w:rPr>
                      <w:rFonts w:ascii="Helvetica" w:eastAsia="Times New Roman" w:hAnsi="Helvetica" w:cs="Helvetica"/>
                      <w:b/>
                      <w:bCs/>
                      <w:color w:val="202020"/>
                      <w:sz w:val="18"/>
                      <w:szCs w:val="18"/>
                      <w:lang w:eastAsia="es-GT"/>
                    </w:rPr>
                    <w:t> de los grupos civiles armados</w:t>
                  </w:r>
                  <w:r w:rsidRPr="00481ED3">
                    <w:rPr>
                      <w:rFonts w:ascii="Helvetica" w:eastAsia="Times New Roman" w:hAnsi="Helvetica" w:cs="Helvetica"/>
                      <w:color w:val="202020"/>
                      <w:sz w:val="18"/>
                      <w:szCs w:val="18"/>
                      <w:lang w:eastAsia="es-GT"/>
                    </w:rPr>
                    <w:t> al servicio de los finqueros que amenazan a las comunidades indígenas.</w:t>
                  </w:r>
                </w:p>
                <w:p w14:paraId="38FFC770" w14:textId="77777777" w:rsidR="00481ED3" w:rsidRPr="00481ED3" w:rsidRDefault="00481ED3" w:rsidP="00481ED3">
                  <w:pPr>
                    <w:numPr>
                      <w:ilvl w:val="0"/>
                      <w:numId w:val="1"/>
                    </w:numPr>
                    <w:spacing w:before="100" w:beforeAutospacing="1" w:after="100" w:afterAutospacing="1" w:line="360" w:lineRule="atLeast"/>
                    <w:jc w:val="both"/>
                    <w:rPr>
                      <w:rFonts w:ascii="Helvetica" w:eastAsia="Times New Roman" w:hAnsi="Helvetica" w:cs="Helvetica"/>
                      <w:color w:val="202020"/>
                      <w:sz w:val="24"/>
                      <w:szCs w:val="24"/>
                      <w:lang w:eastAsia="es-GT"/>
                    </w:rPr>
                  </w:pPr>
                  <w:r w:rsidRPr="00481ED3">
                    <w:rPr>
                      <w:rFonts w:ascii="Helvetica" w:eastAsia="Times New Roman" w:hAnsi="Helvetica" w:cs="Helvetica"/>
                      <w:b/>
                      <w:bCs/>
                      <w:color w:val="202020"/>
                      <w:sz w:val="18"/>
                      <w:szCs w:val="18"/>
                      <w:lang w:eastAsia="es-GT"/>
                    </w:rPr>
                    <w:t>Pide el reconocimiento legal, la restitución y la protección de las tierras ancestrales de los pueblos indígenas mayas</w:t>
                  </w:r>
                  <w:r w:rsidRPr="00481ED3">
                    <w:rPr>
                      <w:rFonts w:ascii="Helvetica" w:eastAsia="Times New Roman" w:hAnsi="Helvetica" w:cs="Helvetica"/>
                      <w:color w:val="202020"/>
                      <w:sz w:val="18"/>
                      <w:szCs w:val="18"/>
                      <w:lang w:eastAsia="es-GT"/>
                    </w:rPr>
                    <w:t> por parte del Estado de Guatemala, y que se establezca un mecanismo efectivo de rendición de cuentas para quienes han violado derechos humanos.</w:t>
                  </w:r>
                </w:p>
                <w:p w14:paraId="4792F805" w14:textId="77777777" w:rsidR="00481ED3" w:rsidRPr="00481ED3" w:rsidRDefault="00481ED3" w:rsidP="00481ED3">
                  <w:pPr>
                    <w:spacing w:after="0" w:line="360" w:lineRule="atLeast"/>
                    <w:jc w:val="both"/>
                    <w:rPr>
                      <w:rFonts w:ascii="Helvetica" w:eastAsia="Times New Roman" w:hAnsi="Helvetica" w:cs="Helvetica"/>
                      <w:color w:val="202020"/>
                      <w:sz w:val="24"/>
                      <w:szCs w:val="24"/>
                      <w:lang w:eastAsia="es-GT"/>
                    </w:rPr>
                  </w:pPr>
                  <w:r w:rsidRPr="00481ED3">
                    <w:rPr>
                      <w:rFonts w:ascii="Helvetica" w:eastAsia="Times New Roman" w:hAnsi="Helvetica" w:cs="Helvetica"/>
                      <w:color w:val="202020"/>
                      <w:sz w:val="18"/>
                      <w:szCs w:val="18"/>
                      <w:lang w:eastAsia="es-GT"/>
                    </w:rPr>
                    <w:t>Instamos a las organizaciones internacionales de derechos humanos a que llamen la atención sobre esta situación urgente y se unan a nosotros para exigir al Estado de Guatemala que actúe urgentemente para proteger los derechos individuales y colectivos de los pueblos indígenas mayas. </w:t>
                  </w:r>
                  <w:r w:rsidRPr="00481ED3">
                    <w:rPr>
                      <w:rFonts w:ascii="Helvetica" w:eastAsia="Times New Roman" w:hAnsi="Helvetica" w:cs="Helvetica"/>
                      <w:color w:val="202020"/>
                      <w:sz w:val="18"/>
                      <w:szCs w:val="18"/>
                      <w:lang w:eastAsia="es-GT"/>
                    </w:rPr>
                    <w:br/>
                    <w:t> </w:t>
                  </w:r>
                  <w:r w:rsidRPr="00481ED3">
                    <w:rPr>
                      <w:rFonts w:ascii="Helvetica" w:eastAsia="Times New Roman" w:hAnsi="Helvetica" w:cs="Helvetica"/>
                      <w:color w:val="202020"/>
                      <w:sz w:val="18"/>
                      <w:szCs w:val="18"/>
                      <w:lang w:eastAsia="es-GT"/>
                    </w:rPr>
                    <w:br/>
                  </w:r>
                  <w:r w:rsidRPr="00481ED3">
                    <w:rPr>
                      <w:rFonts w:ascii="Helvetica" w:eastAsia="Times New Roman" w:hAnsi="Helvetica" w:cs="Helvetica"/>
                      <w:b/>
                      <w:bCs/>
                      <w:color w:val="202020"/>
                      <w:sz w:val="18"/>
                      <w:szCs w:val="18"/>
                      <w:lang w:eastAsia="es-GT"/>
                    </w:rPr>
                    <w:t>También instamos a la comunidad internacional a expresar su solidaridad con los pueblos indígenas mayas </w:t>
                  </w:r>
                  <w:r w:rsidRPr="00481ED3">
                    <w:rPr>
                      <w:rFonts w:ascii="Helvetica" w:eastAsia="Times New Roman" w:hAnsi="Helvetica" w:cs="Helvetica"/>
                      <w:color w:val="202020"/>
                      <w:sz w:val="18"/>
                      <w:szCs w:val="18"/>
                      <w:lang w:eastAsia="es-GT"/>
                    </w:rPr>
                    <w:t>y a instar al Estado de Guatemala  a que respete, reconozca y proteja sus derechos individuales y colectivos y ponga fin a las violaciones impunes de los derechos humanos.</w:t>
                  </w:r>
                </w:p>
              </w:tc>
            </w:tr>
          </w:tbl>
          <w:p w14:paraId="2E3B17DC" w14:textId="77777777" w:rsidR="00481ED3" w:rsidRPr="00481ED3" w:rsidRDefault="00481ED3" w:rsidP="00481ED3">
            <w:pPr>
              <w:spacing w:after="0" w:line="240" w:lineRule="auto"/>
              <w:rPr>
                <w:rFonts w:ascii="Times New Roman" w:eastAsia="Times New Roman" w:hAnsi="Times New Roman" w:cs="Times New Roman"/>
                <w:color w:val="000000"/>
                <w:sz w:val="27"/>
                <w:szCs w:val="27"/>
                <w:lang w:eastAsia="es-GT"/>
              </w:rPr>
            </w:pPr>
          </w:p>
        </w:tc>
      </w:tr>
      <w:tr w:rsidR="001B6694" w:rsidRPr="00481ED3" w14:paraId="7A636208" w14:textId="77777777" w:rsidTr="00481ED3">
        <w:tc>
          <w:tcPr>
            <w:tcW w:w="0" w:type="auto"/>
            <w:shd w:val="clear" w:color="auto" w:fill="FFFFFF"/>
            <w:tcMar>
              <w:top w:w="135" w:type="dxa"/>
              <w:left w:w="0" w:type="dxa"/>
              <w:bottom w:w="0" w:type="dxa"/>
              <w:right w:w="0" w:type="dxa"/>
            </w:tcMar>
          </w:tcPr>
          <w:p w14:paraId="40939FB9" w14:textId="77777777" w:rsidR="001B6694" w:rsidRPr="00481ED3" w:rsidRDefault="001B6694" w:rsidP="00481ED3">
            <w:pPr>
              <w:spacing w:after="0" w:line="360" w:lineRule="atLeast"/>
              <w:jc w:val="both"/>
              <w:rPr>
                <w:rFonts w:ascii="Helvetica" w:eastAsia="Times New Roman" w:hAnsi="Helvetica" w:cs="Helvetica"/>
                <w:color w:val="202020"/>
                <w:sz w:val="18"/>
                <w:szCs w:val="18"/>
                <w:lang w:eastAsia="es-GT"/>
              </w:rPr>
            </w:pPr>
          </w:p>
        </w:tc>
      </w:tr>
    </w:tbl>
    <w:p w14:paraId="5DB380D2" w14:textId="77777777" w:rsidR="001745F1" w:rsidRDefault="00000000">
      <w:hyperlink r:id="rId6" w:history="1">
        <w:r w:rsidR="00481ED3">
          <w:rPr>
            <w:rStyle w:val="Hipervnculo"/>
            <w:rFonts w:ascii="Segoe UI Emoji" w:hAnsi="Segoe UI Emoji" w:cs="Segoe UI Emoji"/>
          </w:rPr>
          <w:t>📢</w:t>
        </w:r>
        <w:r w:rsidR="00481ED3">
          <w:rPr>
            <w:rStyle w:val="Hipervnculo"/>
          </w:rPr>
          <w:t xml:space="preserve"> Stop </w:t>
        </w:r>
        <w:proofErr w:type="spellStart"/>
        <w:r w:rsidR="00481ED3">
          <w:rPr>
            <w:rStyle w:val="Hipervnculo"/>
          </w:rPr>
          <w:t>evictions</w:t>
        </w:r>
        <w:proofErr w:type="spellEnd"/>
        <w:r w:rsidR="00481ED3">
          <w:rPr>
            <w:rStyle w:val="Hipervnculo"/>
          </w:rPr>
          <w:t xml:space="preserve"> </w:t>
        </w:r>
        <w:proofErr w:type="spellStart"/>
        <w:r w:rsidR="00481ED3">
          <w:rPr>
            <w:rStyle w:val="Hipervnculo"/>
          </w:rPr>
          <w:t>against</w:t>
        </w:r>
        <w:proofErr w:type="spellEnd"/>
        <w:r w:rsidR="00481ED3">
          <w:rPr>
            <w:rStyle w:val="Hipervnculo"/>
          </w:rPr>
          <w:t xml:space="preserve"> Mayan </w:t>
        </w:r>
        <w:proofErr w:type="spellStart"/>
        <w:r w:rsidR="00481ED3">
          <w:rPr>
            <w:rStyle w:val="Hipervnculo"/>
          </w:rPr>
          <w:t>communities</w:t>
        </w:r>
        <w:proofErr w:type="spellEnd"/>
        <w:r w:rsidR="00481ED3">
          <w:rPr>
            <w:rStyle w:val="Hipervnculo"/>
          </w:rPr>
          <w:t xml:space="preserve"> and </w:t>
        </w:r>
        <w:proofErr w:type="spellStart"/>
        <w:r w:rsidR="00481ED3">
          <w:rPr>
            <w:rStyle w:val="Hipervnculo"/>
          </w:rPr>
          <w:t>respect</w:t>
        </w:r>
        <w:proofErr w:type="spellEnd"/>
        <w:r w:rsidR="00481ED3">
          <w:rPr>
            <w:rStyle w:val="Hipervnculo"/>
          </w:rPr>
          <w:t xml:space="preserve"> </w:t>
        </w:r>
        <w:proofErr w:type="spellStart"/>
        <w:r w:rsidR="00481ED3">
          <w:rPr>
            <w:rStyle w:val="Hipervnculo"/>
          </w:rPr>
          <w:t>Indigenous</w:t>
        </w:r>
        <w:proofErr w:type="spellEnd"/>
        <w:r w:rsidR="00481ED3">
          <w:rPr>
            <w:rStyle w:val="Hipervnculo"/>
          </w:rPr>
          <w:t xml:space="preserve"> </w:t>
        </w:r>
        <w:proofErr w:type="spellStart"/>
        <w:r w:rsidR="00481ED3">
          <w:rPr>
            <w:rStyle w:val="Hipervnculo"/>
          </w:rPr>
          <w:t>People's</w:t>
        </w:r>
        <w:proofErr w:type="spellEnd"/>
        <w:r w:rsidR="00481ED3">
          <w:rPr>
            <w:rStyle w:val="Hipervnculo"/>
          </w:rPr>
          <w:t xml:space="preserve"> </w:t>
        </w:r>
        <w:proofErr w:type="spellStart"/>
        <w:r w:rsidR="00481ED3">
          <w:rPr>
            <w:rStyle w:val="Hipervnculo"/>
          </w:rPr>
          <w:t>rights</w:t>
        </w:r>
        <w:proofErr w:type="spellEnd"/>
        <w:r w:rsidR="00481ED3">
          <w:rPr>
            <w:rStyle w:val="Hipervnculo"/>
          </w:rPr>
          <w:t xml:space="preserve"> </w:t>
        </w:r>
        <w:proofErr w:type="spellStart"/>
        <w:r w:rsidR="00481ED3">
          <w:rPr>
            <w:rStyle w:val="Hipervnculo"/>
          </w:rPr>
          <w:t>over</w:t>
        </w:r>
        <w:proofErr w:type="spellEnd"/>
        <w:r w:rsidR="00481ED3">
          <w:rPr>
            <w:rStyle w:val="Hipervnculo"/>
          </w:rPr>
          <w:t xml:space="preserve"> </w:t>
        </w:r>
        <w:proofErr w:type="spellStart"/>
        <w:r w:rsidR="00481ED3">
          <w:rPr>
            <w:rStyle w:val="Hipervnculo"/>
          </w:rPr>
          <w:t>the</w:t>
        </w:r>
        <w:proofErr w:type="spellEnd"/>
        <w:r w:rsidR="00481ED3">
          <w:rPr>
            <w:rStyle w:val="Hipervnculo"/>
          </w:rPr>
          <w:t xml:space="preserve"> </w:t>
        </w:r>
        <w:proofErr w:type="spellStart"/>
        <w:r w:rsidR="00481ED3">
          <w:rPr>
            <w:rStyle w:val="Hipervnculo"/>
          </w:rPr>
          <w:t>lands</w:t>
        </w:r>
        <w:proofErr w:type="spellEnd"/>
        <w:r w:rsidR="00481ED3">
          <w:rPr>
            <w:rStyle w:val="Hipervnculo"/>
          </w:rPr>
          <w:t xml:space="preserve">, </w:t>
        </w:r>
        <w:proofErr w:type="spellStart"/>
        <w:r w:rsidR="00481ED3">
          <w:rPr>
            <w:rStyle w:val="Hipervnculo"/>
          </w:rPr>
          <w:t>territories</w:t>
        </w:r>
        <w:proofErr w:type="spellEnd"/>
        <w:r w:rsidR="00481ED3">
          <w:rPr>
            <w:rStyle w:val="Hipervnculo"/>
          </w:rPr>
          <w:t xml:space="preserve">, and </w:t>
        </w:r>
        <w:proofErr w:type="spellStart"/>
        <w:r w:rsidR="00481ED3">
          <w:rPr>
            <w:rStyle w:val="Hipervnculo"/>
          </w:rPr>
          <w:t>resources</w:t>
        </w:r>
        <w:proofErr w:type="spellEnd"/>
        <w:r w:rsidR="00481ED3">
          <w:rPr>
            <w:rStyle w:val="Hipervnculo"/>
          </w:rPr>
          <w:t xml:space="preserve"> (mailchi.mp)</w:t>
        </w:r>
      </w:hyperlink>
    </w:p>
    <w:sectPr w:rsidR="001745F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EF14E2"/>
    <w:multiLevelType w:val="multilevel"/>
    <w:tmpl w:val="97866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520752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6694"/>
    <w:rsid w:val="001745F1"/>
    <w:rsid w:val="001B6694"/>
    <w:rsid w:val="00481ED3"/>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65196B"/>
  <w15:chartTrackingRefBased/>
  <w15:docId w15:val="{A0599A57-7DB8-4D5E-B017-AB9D2E366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481ED3"/>
    <w:pPr>
      <w:spacing w:before="100" w:beforeAutospacing="1" w:after="100" w:afterAutospacing="1" w:line="240" w:lineRule="auto"/>
    </w:pPr>
    <w:rPr>
      <w:rFonts w:ascii="Times New Roman" w:eastAsia="Times New Roman" w:hAnsi="Times New Roman" w:cs="Times New Roman"/>
      <w:sz w:val="24"/>
      <w:szCs w:val="24"/>
      <w:lang w:eastAsia="es-GT"/>
    </w:rPr>
  </w:style>
  <w:style w:type="character" w:styleId="Textoennegrita">
    <w:name w:val="Strong"/>
    <w:basedOn w:val="Fuentedeprrafopredeter"/>
    <w:uiPriority w:val="22"/>
    <w:qFormat/>
    <w:rsid w:val="00481ED3"/>
    <w:rPr>
      <w:b/>
      <w:bCs/>
    </w:rPr>
  </w:style>
  <w:style w:type="character" w:styleId="Hipervnculo">
    <w:name w:val="Hyperlink"/>
    <w:basedOn w:val="Fuentedeprrafopredeter"/>
    <w:uiPriority w:val="99"/>
    <w:semiHidden/>
    <w:unhideWhenUsed/>
    <w:rsid w:val="00481ED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920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mailchi.mp/cb8cc2ae3490/stop-evictions-against-mayan-communities-and-respect-indigenous-peoples-rights-over-the-lands-territories-and-resources" TargetMode="External"/><Relationship Id="rId5" Type="http://schemas.openxmlformats.org/officeDocument/2006/relationships/image" Target="media/image1.png"/><Relationship Id="rId4"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233;stor%20Da%20Costa\Downloads\COMUNICADO%20IPRI.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COMUNICADO IPRI</Template>
  <TotalTime>1</TotalTime>
  <Pages>1</Pages>
  <Words>981</Words>
  <Characters>5401</Characters>
  <Application>Microsoft Office Word</Application>
  <DocSecurity>0</DocSecurity>
  <Lines>45</Lines>
  <Paragraphs>12</Paragraphs>
  <ScaleCrop>false</ScaleCrop>
  <Company/>
  <LinksUpToDate>false</LinksUpToDate>
  <CharactersWithSpaces>6370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2022-12-01T16:24:00Z</dcterms:created>
  <dcterms:modified xsi:type="dcterms:W3CDTF">2022-12-01T16:25:00Z</dcterms:modified>
</cp:coreProperties>
</file>