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72F2" w14:textId="77777777" w:rsidR="007E75C9" w:rsidRPr="007E75C9" w:rsidRDefault="007E75C9" w:rsidP="007E75C9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</w:pPr>
      <w:r w:rsidRPr="007E75C9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 xml:space="preserve">Do </w:t>
      </w:r>
      <w:proofErr w:type="spellStart"/>
      <w:r w:rsidRPr="007E75C9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>bolsonarismo</w:t>
      </w:r>
      <w:proofErr w:type="spellEnd"/>
      <w:r w:rsidRPr="007E75C9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>ao</w:t>
      </w:r>
      <w:proofErr w:type="spellEnd"/>
      <w:r w:rsidRPr="007E75C9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 xml:space="preserve"> neofascismo. Artigo de Isadora de Andrade Guerreiro</w:t>
      </w:r>
    </w:p>
    <w:p w14:paraId="18152904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kern w:val="0"/>
          <w:sz w:val="40"/>
          <w:szCs w:val="40"/>
          <w:lang w:val="es-UY" w:eastAsia="es-UY"/>
          <w14:ligatures w14:val="none"/>
        </w:rPr>
      </w:pPr>
    </w:p>
    <w:p w14:paraId="5616A567" w14:textId="779A3F99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stamos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diante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formação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algo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maior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o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bolsonarismo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— é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emergência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grande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movimento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social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massas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corte fascista", afirma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hyperlink r:id="rId4" w:tgtFrame="_blank" w:history="1"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Isadora de Andrade Guerreiro</w:t>
        </w:r>
      </w:hyperlink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docente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pós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doutoranda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Faculdade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Arquitetura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e Urbanismo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da USP (FAU-USP), em artigo publicado por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Passa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Palavra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16-01-2023.</w:t>
      </w:r>
    </w:p>
    <w:p w14:paraId="46546BA9" w14:textId="77777777" w:rsidR="007E75C9" w:rsidRDefault="007E75C9" w:rsidP="007E75C9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</w:p>
    <w:p w14:paraId="3DD436E3" w14:textId="2FB31826" w:rsidR="007E75C9" w:rsidRDefault="007E75C9" w:rsidP="007E75C9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  <w:proofErr w:type="spellStart"/>
      <w:r w:rsidRPr="007E75C9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Eis</w:t>
      </w:r>
      <w:proofErr w:type="spellEnd"/>
      <w:r w:rsidRPr="007E75C9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 xml:space="preserve"> o artigo.</w:t>
      </w:r>
    </w:p>
    <w:p w14:paraId="04B236E9" w14:textId="77777777" w:rsidR="007E75C9" w:rsidRPr="007E75C9" w:rsidRDefault="007E75C9" w:rsidP="007E75C9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</w:p>
    <w:p w14:paraId="114A6D79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este texto,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gostaria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deixar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hipótese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sobre a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depredação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das sedes dos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três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poderes em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Brasília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no último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8 de janeiro: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eventos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estariam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marcando 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lugar histórico do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"https://www.ihu.unisinos.br/categorias/159-entrevistas/625507-a-inexistencia-de-um-espaco-para-reinvencao-democratica-uma-analise-nacional-e-internacional-entrevista-especial-com-bruno-cava" \t "_blank" </w:instrTex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7E75C9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bolsonarismo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entendido como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processo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transição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para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continuidade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em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termos, 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desenvolvimento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movimento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corte fascista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amplo do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construído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até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aqui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pelos seguidores 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ex-presidente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Vou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tentar falar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respeito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tendo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vista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vários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textos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publiquei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aqui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indicando que o terreno está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movediço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territórios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populares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tempo – e,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portanto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o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bolsonarismo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raio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céu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limpo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mas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raízes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que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"https://www.ihu.unisinos.br/categorias/623858-o-bolsonarismo-apos-a-derrota" \t "_blank" </w:instrTex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7E75C9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desaparecem</w:t>
      </w:r>
      <w:proofErr w:type="spellEnd"/>
      <w:r w:rsidRPr="007E75C9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mudança</w:t>
      </w:r>
      <w:proofErr w:type="spellEnd"/>
      <w:r w:rsidRPr="007E75C9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governo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6F56679D" w14:textId="6B4F52BC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Digo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bolsonarismo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ligado à figura 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ex-presidente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até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agora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processo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ligado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institucionalidade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pelo menos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disputa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ela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tentativa de “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formalização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certas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práticas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(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proprietárias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 que antes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poderiam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 criminalizadas 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seja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disputa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fronteira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legalidade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está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pressionada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 cima (pelas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finanças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 e por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baixo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(o mundo popular)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maneira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cada vez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tensa.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se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colocasse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 </w:t>
      </w:r>
      <w:proofErr w:type="gram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outsider</w:t>
      </w:r>
      <w:proofErr w:type="gram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todo 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papel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estava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ligado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vida no parlamento.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prática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estava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ligada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articulação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xadrez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poderes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institucionais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relação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permanente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construção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base popular, empresarial </w:t>
      </w:r>
      <w:proofErr w:type="gram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militar.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expressão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institucional, e determinada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historicamente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forças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organizando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mosaico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amplo </w:t>
      </w:r>
      <w:proofErr w:type="gram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parecem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agora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passar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novo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momento, no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lugar do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bolsonarismo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vai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alterar.</w:t>
      </w:r>
    </w:p>
    <w:p w14:paraId="5D25F8F8" w14:textId="14CD39E8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20333DC5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60D1D5C3" w14:textId="68D562CA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"https://www.ihu.unisinos.br/625545-ataques-bolsonaristas-em-brasilia-mais-uma-evidencia-de-que-sem-justica-nao-ha-democracia-nem-paz-social" \t "_blank" </w:instrTex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7E75C9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depredação</w:t>
      </w:r>
      <w:proofErr w:type="spellEnd"/>
      <w:r w:rsidRPr="007E75C9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das sedes dos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três</w:t>
      </w:r>
      <w:proofErr w:type="spellEnd"/>
      <w:r w:rsidRPr="007E75C9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poderes em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Brasília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para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além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manifestação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política </w:t>
      </w:r>
      <w:hyperlink r:id="rId5" w:tgtFrame="_blank" w:history="1">
        <w:r w:rsidRPr="007E75C9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contra o </w:t>
        </w:r>
        <w:proofErr w:type="spellStart"/>
        <w:r w:rsidRPr="007E75C9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processo</w:t>
        </w:r>
        <w:proofErr w:type="spellEnd"/>
        <w:r w:rsidRPr="007E75C9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</w:t>
        </w:r>
        <w:proofErr w:type="spellStart"/>
        <w:r w:rsidRPr="007E75C9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eleitoral</w:t>
        </w:r>
        <w:proofErr w:type="spellEnd"/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 e pela </w:t>
        </w:r>
        <w:proofErr w:type="spellStart"/>
        <w:r w:rsidRPr="007E75C9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intervenção</w:t>
        </w:r>
        <w:proofErr w:type="spellEnd"/>
        <w:r w:rsidRPr="007E75C9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militar</w:t>
        </w:r>
      </w:hyperlink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catarse política-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messiânica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profanação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(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palavras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Jonas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Medeiros)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institucionalidade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indicando, inclusive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esteticamente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esgotamento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(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palavras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Juliana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Antunes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). Como se 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afastamento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ex-presidente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das redes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desde 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eleições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inclusive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retirada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figura da pauta 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lastRenderedPageBreak/>
        <w:t xml:space="preserve">dos acampamentos dos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quartéis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fosse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depurando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papel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continuidade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construção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movimento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social de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massas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corte fascista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Diminuiu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centralidade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o ajustando para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lugar,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claro – talvez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articulação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internacional,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característica importante do </w:t>
      </w:r>
      <w:hyperlink r:id="rId6" w:tgtFrame="_blank" w:history="1"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neofascismo</w:t>
        </w:r>
      </w:hyperlink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proporcionada por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meios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comunicação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impensáveis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século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;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casta política de “abridores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porteiras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sempre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útil para “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boiadas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cada vez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precisar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passar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tornar </w:t>
      </w:r>
      <w:hyperlink r:id="rId7" w:tgtFrame="_blank" w:history="1"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Lula 3</w:t>
        </w:r>
      </w:hyperlink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minimamente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factível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5D3BD060" w14:textId="5AB5C96A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0AFCDFD9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6D02910C" w14:textId="2224305F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hipótese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ocaso do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bolsonarismo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se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encontra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de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Rodrigo Nunes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para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por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lado,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Brasília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negativa do ponto de vista político-institucional,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queimando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apoiadores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ex-presidente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afastando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herança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aqueles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têm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cargos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atualmente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;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enquanto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ponto de vista social trata-se de enorme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demonstração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força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além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constituir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diretamente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processo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organizativo e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pertencimento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causa.</w:t>
      </w:r>
    </w:p>
    <w:p w14:paraId="61606A40" w14:textId="4AD90CDD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03CF5E8B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16837931" w14:textId="456AAF52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Do lado 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progressismo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institucionalmente </w:t>
      </w:r>
      <w:hyperlink r:id="rId8" w:tgtFrame="_blank" w:history="1"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Lula 3</w:t>
        </w:r>
      </w:hyperlink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inicia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ciclo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senhora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batata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mãos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como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lidar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forças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armadas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claros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sinais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insubordinação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? –,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tendo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colocar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prova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máxima, talvez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impossível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dons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negociadores entre ser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condutor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repressão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revanchista e “os limites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seja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conduzir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hyperlink r:id="rId9" w:tgtFrame="_blank" w:history="1">
        <w:r w:rsidRPr="007E75C9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democracia</w:t>
        </w:r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 em </w:t>
        </w:r>
        <w:proofErr w:type="spellStart"/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frangalhos</w:t>
        </w:r>
        <w:proofErr w:type="spellEnd"/>
      </w:hyperlink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âmbito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social, vemos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esquerda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tempo, se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acomodou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papel de gestora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barbárie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cada vez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articulada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benfeitores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financeiros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lhe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proporcionará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moradia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educação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auxílios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aposentadoria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capital de giro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produção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e, em breve,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sabe até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desejada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gratuidade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tarifa do transporte público. Da mesma forma que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Lula 3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tal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gestão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gram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talvez</w:t>
      </w:r>
      <w:proofErr w:type="gram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esteja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limite histórico entre proporcionar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agraciar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fome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extrativista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benfeitores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28D4B8CE" w14:textId="03C26C6A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54C5CD1D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4CCCFBC8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 lado da </w:t>
      </w:r>
      <w:hyperlink r:id="rId10" w:tgtFrame="_blank" w:history="1">
        <w:r w:rsidRPr="007E75C9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extrema</w:t>
        </w:r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-</w:t>
        </w:r>
        <w:proofErr w:type="spellStart"/>
        <w:r w:rsidRPr="007E75C9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direita</w:t>
        </w:r>
        <w:proofErr w:type="spellEnd"/>
      </w:hyperlink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os limites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parecem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cair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Derrubam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antenas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transmissão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energia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feito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exige, no limite, risco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vida,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disposição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ir à guerra.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Lembrei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-me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cena no filme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O Poderoso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Chefão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Michael Corleone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chega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Cuba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em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revolução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presencia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manifestante ser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polícia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queima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roupa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recuar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chegar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reunião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negócios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quando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comenta o caso para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dizer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coisas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indo mal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ilha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interlocutor minimiza,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dizendo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revolta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popular normal.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Michael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diz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algo como “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normal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pessoa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colocar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daquela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maneira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frente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além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junto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ele. Algo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grande está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acontecendo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sim”,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acrescentaria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: e está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(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) controle institucional.</w:t>
      </w:r>
    </w:p>
    <w:p w14:paraId="6EE3FD39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 </w:t>
      </w:r>
    </w:p>
    <w:p w14:paraId="3B765E2E" w14:textId="435AAAA0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conseguir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acontecimentos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além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significados – e instrumentos – políticos-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institucionais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indica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certa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miopia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congênita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progressismo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É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olhos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justamente para o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interessa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: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emergência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grande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movimento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social de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massas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nasce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barbárie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territórios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cada vez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geridos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pela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violência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direta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normatividade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longe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lógica dos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 está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arraigada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modos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negociação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mercantil 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corpos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mercadorias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proporcionam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rendimentos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processo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primitivismo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regressivo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mas sim de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"https://www.ihu.unisinos.br/categorias/624721-escatologia-das-horas-o-tempo-humano-fragmentado-pela-logica-economica-artigo-de-douglas-felipe-goncalves-de-almeida" \t "_blank" </w:instrTex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7E75C9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desenvolvimento</w:t>
      </w:r>
      <w:proofErr w:type="spellEnd"/>
      <w:r w:rsidRPr="007E75C9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da lógica do capital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085094D8" w14:textId="166AD858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1BFA7273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4707E8E5" w14:textId="72056E61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Nesse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sentido, o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desenvolvimento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da forma-jurídica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capital – que parte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premissa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propriedade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derivação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contratual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levado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exacerbação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das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lógicas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mercantis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para dentro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territórios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populares antes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atravessados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traços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solidariedade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auto-organização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Característica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ensejo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formação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grandes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organizações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massa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o PT, o MST e a CUT,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além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movimentos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populares ligados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 nova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institucionalidade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pós-ditadura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nasce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desse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caldo. E o que vemos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agora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novamente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formação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caldo social,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grande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penetração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popular,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porém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institucionalidade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social está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distante,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chegando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fazer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nenhum sentido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prático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55687FD0" w14:textId="24FC4314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CA61B0C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157E7F66" w14:textId="0B6891D3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Lógica esta,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contratualização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privada, ligada à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mercantilização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total da vida,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ganha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cada vez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significado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messiânico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 </w:t>
      </w:r>
      <w:hyperlink r:id="rId11" w:tgtFrame="_blank" w:history="1"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A </w:t>
        </w:r>
        <w:proofErr w:type="spellStart"/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noção</w:t>
        </w:r>
        <w:proofErr w:type="spellEnd"/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de “</w:t>
        </w:r>
        <w:proofErr w:type="spellStart"/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liberdade</w:t>
        </w:r>
        <w:proofErr w:type="spellEnd"/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” é </w:t>
        </w:r>
        <w:proofErr w:type="spellStart"/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aquela</w:t>
        </w:r>
        <w:proofErr w:type="spellEnd"/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do </w:t>
        </w:r>
        <w:proofErr w:type="spellStart"/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proprietário</w:t>
        </w:r>
        <w:proofErr w:type="spellEnd"/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 privado</w:t>
        </w:r>
      </w:hyperlink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todos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tendem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ser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expansão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vida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salário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empreendedora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É chocante ver, nos vídeos do último domingo, 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pessoas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transfiguradas gritando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preparadas para o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vier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nome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liberdade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“do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país” e “do comunismo” 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cujo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significado está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longe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ser o histórico, mas sim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mistura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tudo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aquilo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impede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ser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proprietário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dono 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tempo,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moral,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violência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45AF05DF" w14:textId="66811B05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01F674F3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30EA163E" w14:textId="66F1317E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Estamos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diante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formação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algo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maior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portanto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do que o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"https://www.ihu.unisinos.br/categorias/159-entrevistas/600679-os-desafios-para-enfrentar-bolsonaro-e-o-fascismo-social-brasileiro-entrevista-especial-com-giuseppe-cocco" \t "_blank" </w:instrTex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7E75C9">
        <w:rPr>
          <w:rFonts w:ascii="Georgia" w:eastAsia="Times New Roman" w:hAnsi="Georgia" w:cs="Times New Roman"/>
          <w:b/>
          <w:bCs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bolsonarismo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–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deixa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estar inscrito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ordem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institucional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conhecemos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seja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processo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transição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medida em que abre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porteira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“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boiada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”, inclusive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insubordinação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forças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armadas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policiais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Parece-me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constituição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movimento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social de ampla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capilaridade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capaz do que 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progressismo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formar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inevitável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nova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institucionalidade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organizações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partidárias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as entidades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sociedade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civil, os sindicatos, as entidades religiosas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ganham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novos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significados. O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bolsonarismo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capaz de criar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partido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sequer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Mas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movimento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de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corte fascista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mostrou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último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8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toda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capacidade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criar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organizações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cunho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miliciano 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medida em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desprezam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qualquer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institucionalidade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estatal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minimamente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republicana, diferente do líder que se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vai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cujas “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quatro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linhas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existiam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serem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ultrapassadas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portanto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eram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referência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profanação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das “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quatro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linhas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coisa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Tom este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vemos nos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territórios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populares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atravessados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e organizados – por formas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violência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têm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constituído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prosperidade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social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alcançou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despossessão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histórica cuja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complexidade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resolve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política habitacional.</w:t>
      </w:r>
    </w:p>
    <w:p w14:paraId="4E0496DA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1F64061E" w14:textId="211BFF24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Gabriel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Feltran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pouco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dez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anos,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observar a nova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sociabilidade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“mundo 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crime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periferia de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São Paulo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notava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dissolução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fronteiras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entre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legitimidade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sujeito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trabalhador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 do bandido [1] –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poderíamos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aqui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ampliar para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relação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social difusa entre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legalidade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ilegalidade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formalidade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informalidade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dissolução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mundo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coeso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sociedade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salarial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formou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periferia 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através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guerras,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andamento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novas formas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legitimação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política e social,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criaram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fato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esfera institucional paralela,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normas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tribunais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até mesmo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linguagem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acessível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iniciados. Ali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julgadas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cotidianamente 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repertório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práticas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movimentos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democrático-populares, a entrada do poder público é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chancelada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atividades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político-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partidárias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monitoradas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ordem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negócios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prosperidade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lógica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encurrala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limite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atual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movimentos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progressistas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entram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contradição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flagrante.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comentadores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clamando pelo poder do “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” contra o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fascismo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mas, sinceramente,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onde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“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” do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messianismo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progressista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se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encontra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atualmente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4A17C8AB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783401C" w14:textId="525FA8DB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Cibele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Rizék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[2] fala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recentemente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ascensão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nacional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“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lógica miliciana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 que, para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além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modelo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milícias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cariocas, trata-se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</w:t>
      </w:r>
      <w:proofErr w:type="spellEnd"/>
      <w:r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“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processo</w:t>
      </w:r>
      <w:proofErr w:type="spellEnd"/>
      <w:r w:rsidRPr="007E75C9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privatização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 e de </w:t>
      </w:r>
      <w:proofErr w:type="spellStart"/>
      <w:r w:rsidRPr="007E75C9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terceirização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 da </w:t>
      </w:r>
      <w:proofErr w:type="spellStart"/>
      <w:r w:rsidRPr="007E75C9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violência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praticada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gerida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nas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fronteiras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entre legalidades 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ilegalismos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todos os tipos.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Essa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lógica se ancora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produção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medo 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venda de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segurança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lado do controle, ele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privado, do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acesso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serviços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públicos de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água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energia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, transportes,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televisão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a cabo, internet.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lógica de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negócios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dentre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os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quais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o grande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arranjo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securitário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cimentado por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conjunto de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extorsões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, é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perfeitamente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compatível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os labirintos jurídicos que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redefinem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práticas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fronteiras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entre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legalidade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ilegalidade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além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ratificar </w:t>
      </w:r>
      <w:proofErr w:type="spellStart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>sorrateiras</w:t>
      </w:r>
      <w:proofErr w:type="spellEnd"/>
      <w:r w:rsidRPr="007E75C9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es-UY" w:eastAsia="es-UY"/>
          <w14:ligatures w14:val="none"/>
        </w:rPr>
        <w:t xml:space="preserve"> continuidades”.</w:t>
      </w:r>
    </w:p>
    <w:p w14:paraId="3ADDC934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013F72FA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trata,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portanto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lógica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institucionalidade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“moderna”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prometia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e nunca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cumpriu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embora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tenha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servido eficazmente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veio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saber,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manter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violência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extrativista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e a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desigualdade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em todas 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faces. Esta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lógica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força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fato de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cumpre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que promete –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só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considerada “justa”, mesmo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quando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exerce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violência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direta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[3] – e está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apenas no mundo popular, mas em toda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sociedade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à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esquerda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É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nova-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velha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ordem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7A2A9D95" w14:textId="697C9C17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formação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hyperlink r:id="rId12" w:tgtFrame="_blank" w:history="1"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nova </w:t>
        </w:r>
        <w:proofErr w:type="spellStart"/>
        <w:r w:rsidRPr="007E75C9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institucionalidade</w:t>
        </w:r>
        <w:proofErr w:type="spellEnd"/>
      </w:hyperlink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em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andamento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nascida dos escombros da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Nova República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finda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2013 –,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ela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está em disputa,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movimento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neofascista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no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páreo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Do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lado, o 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lulismo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mesmo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histórico em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relação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tinha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10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anos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atrás,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vai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penar até encontrar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pois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acredita que é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só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repavimentar 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caminho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conhecido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engana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redondamente. O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fazer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diante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grandes placas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tectônicas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colisão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nenhum programa alternativo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eco entre as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classes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populares?</w:t>
      </w:r>
    </w:p>
    <w:p w14:paraId="6C7D1424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4FEC693F" w14:textId="157A979A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A única boa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notícia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soltos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 todos os lados,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deslocamentos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abrem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frestas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serem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abertas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dentro da disputa. Será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necessário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olhar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estratégico que consiga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vê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-las tal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elas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ilusões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criatividade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fazê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-las se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abrirem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1B169F6D" w14:textId="4DEEE014" w:rsid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6017440B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3B8E6E87" w14:textId="77777777" w:rsidR="007E75C9" w:rsidRPr="007E75C9" w:rsidRDefault="007E75C9" w:rsidP="007E75C9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  <w:r w:rsidRPr="007E75C9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Notas</w:t>
      </w:r>
    </w:p>
    <w:p w14:paraId="6233064F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[1]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Feltran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Gabriel de Santis.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Fronteiras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tensão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São Paulo: Editora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Unesp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2011.</w:t>
      </w:r>
    </w:p>
    <w:p w14:paraId="5A85F9A9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[2]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Rizék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Cibele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Saliba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mosaico macabro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:</w:t>
      </w:r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modulações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contemporâneas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sobre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trabalho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moradia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violência</w:t>
      </w:r>
      <w:proofErr w:type="spellEnd"/>
      <w:r w:rsidRPr="007E75C9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Estado</w:t>
      </w: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In: Revista de Debate da Fase –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Proposta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n.129, 2019.</w:t>
      </w:r>
    </w:p>
    <w:p w14:paraId="60C7B6FD" w14:textId="77777777" w:rsidR="007E75C9" w:rsidRPr="007E75C9" w:rsidRDefault="007E75C9" w:rsidP="007E75C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[3]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Exemplo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pesquisadora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trouxe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: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fazer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entrevista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bairro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periférico da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Baixada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Fluminense, se depara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grande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confusão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rua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entrevistada.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adolescente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tinha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acabado de ser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assassinado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Durante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entrevista, 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bairro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descrito como “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tranquilo”,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a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pesquisadora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contrapõe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fato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ocorrido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esquina. A entrevistada responde: “ah, mas ele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estava</w:t>
      </w:r>
      <w:proofErr w:type="spellEnd"/>
      <w:r w:rsidRPr="007E75C9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avisado”.</w:t>
      </w:r>
    </w:p>
    <w:p w14:paraId="350CC4A1" w14:textId="537AA0EF" w:rsidR="002E2F5B" w:rsidRDefault="002E2F5B"/>
    <w:p w14:paraId="227CDB60" w14:textId="0B2F032E" w:rsidR="007E75C9" w:rsidRDefault="007E75C9">
      <w:hyperlink r:id="rId13" w:history="1">
        <w:r w:rsidRPr="00185DC1">
          <w:rPr>
            <w:rStyle w:val="Hipervnculo"/>
          </w:rPr>
          <w:t>https://www.ihu.unisinos.br/625894-do-bolsonarismo-ao-neofascismo-artigo-de-isadora-de-andrade-guerreiro</w:t>
        </w:r>
      </w:hyperlink>
    </w:p>
    <w:p w14:paraId="76DC50EE" w14:textId="77777777" w:rsidR="007E75C9" w:rsidRDefault="007E75C9"/>
    <w:sectPr w:rsidR="007E7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C9"/>
    <w:rsid w:val="002E2F5B"/>
    <w:rsid w:val="007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5B49"/>
  <w15:chartTrackingRefBased/>
  <w15:docId w15:val="{BCC57676-C30C-44DC-BA23-1559B313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75C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7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25591-governo-lula-da-silva-primeiras-impressoes-trazem-sinais-de-esperanca" TargetMode="External"/><Relationship Id="rId13" Type="http://schemas.openxmlformats.org/officeDocument/2006/relationships/hyperlink" Target="https://www.ihu.unisinos.br/625894-do-bolsonarismo-ao-neofascismo-artigo-de-isadora-de-andrade-guerrei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625639-amazonia-por-que-as-mafias-reagem-a-lula" TargetMode="External"/><Relationship Id="rId12" Type="http://schemas.openxmlformats.org/officeDocument/2006/relationships/hyperlink" Target="https://www.ihu.unisinos.br/625873-fascismo-populismo-ou-ultradireita-artigo-de-claudio-kat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24521-a-ruptura-interna-no-tecido-catolico-brasileiro" TargetMode="External"/><Relationship Id="rId11" Type="http://schemas.openxmlformats.org/officeDocument/2006/relationships/hyperlink" Target="https://www.ihu.unisinos.br/categorias/624174-pedagogia-historico-critica-e-luta-pela-terra-para-mudar-a-sociedade" TargetMode="External"/><Relationship Id="rId5" Type="http://schemas.openxmlformats.org/officeDocument/2006/relationships/hyperlink" Target="https://www.ihu.unisinos.br/categorias/625090-manual-pratico-do-golpismo-internaciona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hu.unisinos.br/categorias/159-entrevistas/625674-a-extrema-direita-quer-a-destruicao-do-consenso-liberal-democratico-do-pos-guerra-entrevista-especial-com-michele-prado" TargetMode="External"/><Relationship Id="rId4" Type="http://schemas.openxmlformats.org/officeDocument/2006/relationships/hyperlink" Target="https://www.ihu.unisinos.br/625868-ordenar-em-algo-o-caos-sistemico-artigo-de-raul-zibechi" TargetMode="External"/><Relationship Id="rId9" Type="http://schemas.openxmlformats.org/officeDocument/2006/relationships/hyperlink" Target="https://www.ihu.unisinos.br/categorias/624989-democracia-brasileira-nao-esta-salva-com-vitoria-eleitoral-de-lula-artigo-de-edu-montesan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2287</Words>
  <Characters>12583</Characters>
  <Application>Microsoft Office Word</Application>
  <DocSecurity>0</DocSecurity>
  <Lines>104</Lines>
  <Paragraphs>29</Paragraphs>
  <ScaleCrop>false</ScaleCrop>
  <Company/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2023-01-31T12:43:00Z</dcterms:created>
  <dcterms:modified xsi:type="dcterms:W3CDTF">2023-01-31T12:43:00Z</dcterms:modified>
</cp:coreProperties>
</file>