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1F20" w14:textId="77777777" w:rsidR="00FB6005" w:rsidRPr="00FB6005" w:rsidRDefault="00FB6005" w:rsidP="00FB6005">
      <w:pPr>
        <w:shd w:val="clear" w:color="auto" w:fill="FFFFFF"/>
        <w:spacing w:after="375" w:line="435" w:lineRule="atLeast"/>
        <w:jc w:val="both"/>
        <w:outlineLvl w:val="0"/>
        <w:rPr>
          <w:rFonts w:ascii="Open Sans" w:eastAsia="Times New Roman" w:hAnsi="Open Sans" w:cs="Open Sans"/>
          <w:b/>
          <w:bCs/>
          <w:color w:val="333333"/>
          <w:kern w:val="36"/>
          <w:sz w:val="38"/>
          <w:szCs w:val="38"/>
          <w:lang w:val="es-UY" w:eastAsia="es-UY"/>
          <w14:ligatures w14:val="none"/>
        </w:rPr>
      </w:pPr>
      <w:r w:rsidRPr="00FB6005">
        <w:rPr>
          <w:rFonts w:ascii="Open Sans" w:eastAsia="Times New Roman" w:hAnsi="Open Sans" w:cs="Open Sans"/>
          <w:b/>
          <w:bCs/>
          <w:color w:val="333333"/>
          <w:kern w:val="36"/>
          <w:sz w:val="38"/>
          <w:szCs w:val="38"/>
          <w:lang w:val="es-UY" w:eastAsia="es-UY"/>
          <w14:ligatures w14:val="none"/>
        </w:rPr>
        <w:t>Gozo de los pobres, gozo de Dios: Discernimiento para la praxis histórica-salvífica-popular</w:t>
      </w:r>
    </w:p>
    <w:p w14:paraId="286EDE93" w14:textId="77777777" w:rsidR="00FB6005" w:rsidRPr="00FB6005" w:rsidRDefault="00FB6005" w:rsidP="00FB6005">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FB6005">
        <w:rPr>
          <w:rFonts w:ascii="Open Sans" w:eastAsia="Times New Roman" w:hAnsi="Open Sans" w:cs="Open Sans"/>
          <w:noProof/>
          <w:color w:val="000000"/>
          <w:kern w:val="0"/>
          <w:sz w:val="21"/>
          <w:szCs w:val="21"/>
          <w:lang w:val="es-UY" w:eastAsia="es-UY"/>
          <w14:ligatures w14:val="none"/>
        </w:rPr>
        <w:drawing>
          <wp:inline distT="0" distB="0" distL="0" distR="0" wp14:anchorId="653E76F7" wp14:editId="731A84B4">
            <wp:extent cx="5133221" cy="2882900"/>
            <wp:effectExtent l="0" t="0" r="0" b="0"/>
            <wp:docPr id="1" name="Imagen 1" descr="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5713" cy="2884300"/>
                    </a:xfrm>
                    <a:prstGeom prst="rect">
                      <a:avLst/>
                    </a:prstGeom>
                    <a:noFill/>
                    <a:ln>
                      <a:noFill/>
                    </a:ln>
                  </pic:spPr>
                </pic:pic>
              </a:graphicData>
            </a:graphic>
          </wp:inline>
        </w:drawing>
      </w:r>
    </w:p>
    <w:p w14:paraId="7B30CE51" w14:textId="77777777" w:rsidR="00FB6005" w:rsidRPr="00FB6005" w:rsidRDefault="00FB6005" w:rsidP="00FB6005">
      <w:pPr>
        <w:shd w:val="clear" w:color="auto" w:fill="FFFFFF"/>
        <w:spacing w:after="12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FB6005">
        <w:rPr>
          <w:rFonts w:ascii="Montserrat" w:eastAsia="Times New Roman" w:hAnsi="Montserrat" w:cs="Open Sans"/>
          <w:b/>
          <w:bCs/>
          <w:color w:val="4472C4" w:themeColor="accent1"/>
          <w:kern w:val="0"/>
          <w:sz w:val="26"/>
          <w:szCs w:val="26"/>
          <w:lang w:val="es-UY" w:eastAsia="es-UY"/>
          <w14:ligatures w14:val="none"/>
        </w:rPr>
        <w:t>En el marco del décimo aniversario del Pontificado de Francisco, nos interesa reflexionar sobre uno de los pilares más evidentes de sus gestos y de su Magisterio: el discernimiento espiritual. Esta mención no es caprichosa, puesto que en 2022 el primer Papa latinoamericano dedicó a dicho tema un extenso ciclo de las tradicionales audiencias generales de los miércoles</w:t>
      </w:r>
    </w:p>
    <w:p w14:paraId="1A67E1F4" w14:textId="77777777" w:rsidR="00FB6005" w:rsidRPr="00FB6005" w:rsidRDefault="00FB6005" w:rsidP="00FB6005">
      <w:pPr>
        <w:shd w:val="clear" w:color="auto" w:fill="FFFFFF"/>
        <w:spacing w:after="12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FB6005">
        <w:rPr>
          <w:rFonts w:ascii="Montserrat" w:eastAsia="Times New Roman" w:hAnsi="Montserrat" w:cs="Open Sans"/>
          <w:b/>
          <w:bCs/>
          <w:color w:val="4472C4" w:themeColor="accent1"/>
          <w:kern w:val="0"/>
          <w:sz w:val="26"/>
          <w:szCs w:val="26"/>
          <w:lang w:val="es-UY" w:eastAsia="es-UY"/>
          <w14:ligatures w14:val="none"/>
        </w:rPr>
        <w:t>En este texto nos interesa resaltar el aporte, que desde dicho tema, el Papa hace a la praxis histórica-salvífica-popular, tratándose así de una cuestión relevante para la ética social</w:t>
      </w:r>
    </w:p>
    <w:p w14:paraId="1E54101B" w14:textId="77777777" w:rsidR="00FB6005" w:rsidRPr="00FB6005" w:rsidRDefault="00FB6005" w:rsidP="00FB6005">
      <w:pPr>
        <w:shd w:val="clear" w:color="auto" w:fill="FFFFFF"/>
        <w:spacing w:after="150" w:line="240" w:lineRule="auto"/>
        <w:jc w:val="both"/>
        <w:rPr>
          <w:rFonts w:ascii="inherit" w:eastAsia="Times New Roman" w:hAnsi="inherit" w:cs="Open Sans"/>
          <w:b/>
          <w:bCs/>
          <w:i/>
          <w:iCs/>
          <w:color w:val="333333"/>
          <w:kern w:val="0"/>
          <w:sz w:val="24"/>
          <w:szCs w:val="24"/>
          <w:lang w:val="es-UY" w:eastAsia="es-UY"/>
          <w14:ligatures w14:val="none"/>
        </w:rPr>
      </w:pPr>
      <w:r w:rsidRPr="00FB6005">
        <w:rPr>
          <w:rFonts w:ascii="inherit" w:eastAsia="Times New Roman" w:hAnsi="inherit" w:cs="Open Sans"/>
          <w:b/>
          <w:bCs/>
          <w:i/>
          <w:iCs/>
          <w:color w:val="333333"/>
          <w:kern w:val="0"/>
          <w:sz w:val="24"/>
          <w:szCs w:val="24"/>
          <w:lang w:val="es-UY" w:eastAsia="es-UY"/>
          <w14:ligatures w14:val="none"/>
        </w:rPr>
        <w:t>28.01.2023 | Aníbal Torres</w:t>
      </w:r>
    </w:p>
    <w:p w14:paraId="19FA93B5" w14:textId="77777777" w:rsidR="00FB6005" w:rsidRPr="00FB6005" w:rsidRDefault="00FB6005" w:rsidP="00FB6005">
      <w:pPr>
        <w:shd w:val="clear" w:color="auto" w:fill="FFFFFF"/>
        <w:spacing w:after="0" w:line="300" w:lineRule="atLeast"/>
        <w:jc w:val="both"/>
        <w:rPr>
          <w:rFonts w:ascii="Open Sans" w:eastAsia="Times New Roman" w:hAnsi="Open Sans" w:cs="Open Sans"/>
          <w:color w:val="474747"/>
          <w:kern w:val="0"/>
          <w:sz w:val="24"/>
          <w:szCs w:val="24"/>
          <w:lang w:val="es-UY" w:eastAsia="es-UY"/>
          <w14:ligatures w14:val="none"/>
        </w:rPr>
      </w:pPr>
      <w:hyperlink r:id="rId6" w:history="1">
        <w:r w:rsidRPr="00FB6005">
          <w:rPr>
            <w:rFonts w:ascii="Open Sans" w:eastAsia="Times New Roman" w:hAnsi="Open Sans" w:cs="Open Sans"/>
            <w:color w:val="D49400"/>
            <w:kern w:val="0"/>
            <w:sz w:val="24"/>
            <w:szCs w:val="24"/>
            <w:lang w:val="es-UY" w:eastAsia="es-UY"/>
            <w14:ligatures w14:val="none"/>
          </w:rPr>
          <w:t>(</w:t>
        </w:r>
        <w:proofErr w:type="spellStart"/>
        <w:r w:rsidRPr="00FB6005">
          <w:rPr>
            <w:rFonts w:ascii="Open Sans" w:eastAsia="Times New Roman" w:hAnsi="Open Sans" w:cs="Open Sans"/>
            <w:color w:val="D49400"/>
            <w:kern w:val="0"/>
            <w:sz w:val="24"/>
            <w:szCs w:val="24"/>
            <w:lang w:val="es-UY" w:eastAsia="es-UY"/>
            <w14:ligatures w14:val="none"/>
          </w:rPr>
          <w:t>Catholic</w:t>
        </w:r>
        <w:proofErr w:type="spellEnd"/>
        <w:r w:rsidRPr="00FB6005">
          <w:rPr>
            <w:rFonts w:ascii="Open Sans" w:eastAsia="Times New Roman" w:hAnsi="Open Sans" w:cs="Open Sans"/>
            <w:color w:val="D49400"/>
            <w:kern w:val="0"/>
            <w:sz w:val="24"/>
            <w:szCs w:val="24"/>
            <w:lang w:val="es-UY" w:eastAsia="es-UY"/>
            <w14:ligatures w14:val="none"/>
          </w:rPr>
          <w:t xml:space="preserve"> </w:t>
        </w:r>
        <w:proofErr w:type="spellStart"/>
        <w:r w:rsidRPr="00FB6005">
          <w:rPr>
            <w:rFonts w:ascii="Open Sans" w:eastAsia="Times New Roman" w:hAnsi="Open Sans" w:cs="Open Sans"/>
            <w:color w:val="D49400"/>
            <w:kern w:val="0"/>
            <w:sz w:val="24"/>
            <w:szCs w:val="24"/>
            <w:lang w:val="es-UY" w:eastAsia="es-UY"/>
            <w14:ligatures w14:val="none"/>
          </w:rPr>
          <w:t>Theological</w:t>
        </w:r>
        <w:proofErr w:type="spellEnd"/>
        <w:r w:rsidRPr="00FB6005">
          <w:rPr>
            <w:rFonts w:ascii="Open Sans" w:eastAsia="Times New Roman" w:hAnsi="Open Sans" w:cs="Open Sans"/>
            <w:color w:val="D49400"/>
            <w:kern w:val="0"/>
            <w:sz w:val="24"/>
            <w:szCs w:val="24"/>
            <w:lang w:val="es-UY" w:eastAsia="es-UY"/>
            <w14:ligatures w14:val="none"/>
          </w:rPr>
          <w:t xml:space="preserve"> </w:t>
        </w:r>
        <w:proofErr w:type="spellStart"/>
        <w:r w:rsidRPr="00FB6005">
          <w:rPr>
            <w:rFonts w:ascii="Open Sans" w:eastAsia="Times New Roman" w:hAnsi="Open Sans" w:cs="Open Sans"/>
            <w:color w:val="D49400"/>
            <w:kern w:val="0"/>
            <w:sz w:val="24"/>
            <w:szCs w:val="24"/>
            <w:lang w:val="es-UY" w:eastAsia="es-UY"/>
            <w14:ligatures w14:val="none"/>
          </w:rPr>
          <w:t>Ethics</w:t>
        </w:r>
        <w:proofErr w:type="spellEnd"/>
        <w:r w:rsidRPr="00FB6005">
          <w:rPr>
            <w:rFonts w:ascii="Open Sans" w:eastAsia="Times New Roman" w:hAnsi="Open Sans" w:cs="Open Sans"/>
            <w:color w:val="D49400"/>
            <w:kern w:val="0"/>
            <w:sz w:val="24"/>
            <w:szCs w:val="24"/>
            <w:lang w:val="es-UY" w:eastAsia="es-UY"/>
            <w14:ligatures w14:val="none"/>
          </w:rPr>
          <w:t xml:space="preserve"> in </w:t>
        </w:r>
        <w:proofErr w:type="spellStart"/>
        <w:r w:rsidRPr="00FB6005">
          <w:rPr>
            <w:rFonts w:ascii="Open Sans" w:eastAsia="Times New Roman" w:hAnsi="Open Sans" w:cs="Open Sans"/>
            <w:color w:val="D49400"/>
            <w:kern w:val="0"/>
            <w:sz w:val="24"/>
            <w:szCs w:val="24"/>
            <w:lang w:val="es-UY" w:eastAsia="es-UY"/>
            <w14:ligatures w14:val="none"/>
          </w:rPr>
          <w:t>the</w:t>
        </w:r>
        <w:proofErr w:type="spellEnd"/>
        <w:r w:rsidRPr="00FB6005">
          <w:rPr>
            <w:rFonts w:ascii="Open Sans" w:eastAsia="Times New Roman" w:hAnsi="Open Sans" w:cs="Open Sans"/>
            <w:color w:val="D49400"/>
            <w:kern w:val="0"/>
            <w:sz w:val="24"/>
            <w:szCs w:val="24"/>
            <w:lang w:val="es-UY" w:eastAsia="es-UY"/>
            <w14:ligatures w14:val="none"/>
          </w:rPr>
          <w:t xml:space="preserve"> </w:t>
        </w:r>
        <w:proofErr w:type="spellStart"/>
        <w:r w:rsidRPr="00FB6005">
          <w:rPr>
            <w:rFonts w:ascii="Open Sans" w:eastAsia="Times New Roman" w:hAnsi="Open Sans" w:cs="Open Sans"/>
            <w:color w:val="D49400"/>
            <w:kern w:val="0"/>
            <w:sz w:val="24"/>
            <w:szCs w:val="24"/>
            <w:lang w:val="es-UY" w:eastAsia="es-UY"/>
            <w14:ligatures w14:val="none"/>
          </w:rPr>
          <w:t>World</w:t>
        </w:r>
        <w:proofErr w:type="spellEnd"/>
        <w:r w:rsidRPr="00FB6005">
          <w:rPr>
            <w:rFonts w:ascii="Open Sans" w:eastAsia="Times New Roman" w:hAnsi="Open Sans" w:cs="Open Sans"/>
            <w:color w:val="D49400"/>
            <w:kern w:val="0"/>
            <w:sz w:val="24"/>
            <w:szCs w:val="24"/>
            <w:lang w:val="es-UY" w:eastAsia="es-UY"/>
            <w14:ligatures w14:val="none"/>
          </w:rPr>
          <w:t xml:space="preserve"> </w:t>
        </w:r>
        <w:proofErr w:type="spellStart"/>
        <w:r w:rsidRPr="00FB6005">
          <w:rPr>
            <w:rFonts w:ascii="Open Sans" w:eastAsia="Times New Roman" w:hAnsi="Open Sans" w:cs="Open Sans"/>
            <w:color w:val="D49400"/>
            <w:kern w:val="0"/>
            <w:sz w:val="24"/>
            <w:szCs w:val="24"/>
            <w:lang w:val="es-UY" w:eastAsia="es-UY"/>
            <w14:ligatures w14:val="none"/>
          </w:rPr>
          <w:t>Church</w:t>
        </w:r>
        <w:proofErr w:type="spellEnd"/>
        <w:r w:rsidRPr="00FB6005">
          <w:rPr>
            <w:rFonts w:ascii="Open Sans" w:eastAsia="Times New Roman" w:hAnsi="Open Sans" w:cs="Open Sans"/>
            <w:color w:val="D49400"/>
            <w:kern w:val="0"/>
            <w:sz w:val="24"/>
            <w:szCs w:val="24"/>
            <w:lang w:val="es-UY" w:eastAsia="es-UY"/>
            <w14:ligatures w14:val="none"/>
          </w:rPr>
          <w:t>).</w:t>
        </w:r>
      </w:hyperlink>
      <w:r w:rsidRPr="00FB6005">
        <w:rPr>
          <w:rFonts w:ascii="Open Sans" w:eastAsia="Times New Roman" w:hAnsi="Open Sans" w:cs="Open Sans"/>
          <w:color w:val="474747"/>
          <w:kern w:val="0"/>
          <w:sz w:val="24"/>
          <w:szCs w:val="24"/>
          <w:lang w:val="es-UY" w:eastAsia="es-UY"/>
          <w14:ligatures w14:val="none"/>
        </w:rPr>
        <w:t>- En el marco del décimo aniversario del Pontificado de Francisco, nos interesa reflexionar sobre uno de los pilares más evidentes de sus gestos y de su Magisterio:</w:t>
      </w:r>
      <w:r w:rsidRPr="00FB6005">
        <w:rPr>
          <w:rFonts w:ascii="Open Sans" w:eastAsia="Times New Roman" w:hAnsi="Open Sans" w:cs="Open Sans"/>
          <w:b/>
          <w:bCs/>
          <w:color w:val="474747"/>
          <w:kern w:val="0"/>
          <w:sz w:val="24"/>
          <w:szCs w:val="24"/>
          <w:lang w:val="es-UY" w:eastAsia="es-UY"/>
          <w14:ligatures w14:val="none"/>
        </w:rPr>
        <w:t> el discernimiento espiritual</w:t>
      </w:r>
      <w:r w:rsidRPr="00FB6005">
        <w:rPr>
          <w:rFonts w:ascii="Open Sans" w:eastAsia="Times New Roman" w:hAnsi="Open Sans" w:cs="Open Sans"/>
          <w:color w:val="474747"/>
          <w:kern w:val="0"/>
          <w:sz w:val="24"/>
          <w:szCs w:val="24"/>
          <w:lang w:val="es-UY" w:eastAsia="es-UY"/>
          <w14:ligatures w14:val="none"/>
        </w:rPr>
        <w:t>. Esta mención no es caprichosa, puesto que en 2022 el primer Papa latinoamericano dedicó a dicho tema un extenso ciclo de las tradicionales audiencias generales de los miércoles. Esto fue precedido por pronunciamientos magisteriales (como el Capítulo “Combate, vigilancia y discernimiento” de </w:t>
      </w:r>
      <w:proofErr w:type="spellStart"/>
      <w:r w:rsidRPr="00FB6005">
        <w:rPr>
          <w:rFonts w:ascii="Open Sans" w:eastAsia="Times New Roman" w:hAnsi="Open Sans" w:cs="Open Sans"/>
          <w:i/>
          <w:iCs/>
          <w:color w:val="474747"/>
          <w:kern w:val="0"/>
          <w:sz w:val="24"/>
          <w:szCs w:val="24"/>
          <w:lang w:val="es-UY" w:eastAsia="es-UY"/>
          <w14:ligatures w14:val="none"/>
        </w:rPr>
        <w:t>Gaudete</w:t>
      </w:r>
      <w:proofErr w:type="spellEnd"/>
      <w:r w:rsidRPr="00FB6005">
        <w:rPr>
          <w:rFonts w:ascii="Open Sans" w:eastAsia="Times New Roman" w:hAnsi="Open Sans" w:cs="Open Sans"/>
          <w:i/>
          <w:iCs/>
          <w:color w:val="474747"/>
          <w:kern w:val="0"/>
          <w:sz w:val="24"/>
          <w:szCs w:val="24"/>
          <w:lang w:val="es-UY" w:eastAsia="es-UY"/>
          <w14:ligatures w14:val="none"/>
        </w:rPr>
        <w:t xml:space="preserve"> et </w:t>
      </w:r>
      <w:proofErr w:type="spellStart"/>
      <w:r w:rsidRPr="00FB6005">
        <w:rPr>
          <w:rFonts w:ascii="Open Sans" w:eastAsia="Times New Roman" w:hAnsi="Open Sans" w:cs="Open Sans"/>
          <w:i/>
          <w:iCs/>
          <w:color w:val="474747"/>
          <w:kern w:val="0"/>
          <w:sz w:val="24"/>
          <w:szCs w:val="24"/>
          <w:lang w:val="es-UY" w:eastAsia="es-UY"/>
          <w14:ligatures w14:val="none"/>
        </w:rPr>
        <w:t>Exsultate</w:t>
      </w:r>
      <w:proofErr w:type="spellEnd"/>
      <w:r w:rsidRPr="00FB6005">
        <w:rPr>
          <w:rFonts w:ascii="Open Sans" w:eastAsia="Times New Roman" w:hAnsi="Open Sans" w:cs="Open Sans"/>
          <w:color w:val="474747"/>
          <w:kern w:val="0"/>
          <w:sz w:val="24"/>
          <w:szCs w:val="24"/>
          <w:lang w:val="es-UY" w:eastAsia="es-UY"/>
          <w14:ligatures w14:val="none"/>
        </w:rPr>
        <w:t>), todo lo cual da crédito a la afirmación de que Francisco “quiere introducir a la Iglesia en dinámica de discernimiento”.</w:t>
      </w:r>
      <w:hyperlink r:id="rId7" w:anchor="_ftn1" w:history="1">
        <w:r w:rsidRPr="00FB6005">
          <w:rPr>
            <w:rFonts w:ascii="Open Sans" w:eastAsia="Times New Roman" w:hAnsi="Open Sans" w:cs="Open Sans"/>
            <w:color w:val="D49400"/>
            <w:kern w:val="0"/>
            <w:sz w:val="24"/>
            <w:szCs w:val="24"/>
            <w:lang w:val="es-UY" w:eastAsia="es-UY"/>
            <w14:ligatures w14:val="none"/>
          </w:rPr>
          <w:t>[1]</w:t>
        </w:r>
      </w:hyperlink>
    </w:p>
    <w:p w14:paraId="3D014D90"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lastRenderedPageBreak/>
        <w:t>En este texto nos interesa resaltar el aporte, que desde dicho tema, el Papa hace a la praxis histórica-salvífica-popular, tratándose así de una cuestión relevante para la ética social. No obstante, para comprender esto hay que tener en cuenta, </w:t>
      </w:r>
      <w:r w:rsidRPr="00FB6005">
        <w:rPr>
          <w:rFonts w:ascii="Open Sans" w:eastAsia="Times New Roman" w:hAnsi="Open Sans" w:cs="Open Sans"/>
          <w:b/>
          <w:bCs/>
          <w:color w:val="474747"/>
          <w:kern w:val="0"/>
          <w:sz w:val="24"/>
          <w:szCs w:val="24"/>
          <w:lang w:val="es-UY" w:eastAsia="es-UY"/>
          <w14:ligatures w14:val="none"/>
        </w:rPr>
        <w:t>por un lado, las raíces del discernimiento en la espiritualidad ignaciana. Por el otro lado, que es una propuesta para todos los miembros del Pueblo de Dios</w:t>
      </w:r>
      <w:r w:rsidRPr="00FB6005">
        <w:rPr>
          <w:rFonts w:ascii="Open Sans" w:eastAsia="Times New Roman" w:hAnsi="Open Sans" w:cs="Open Sans"/>
          <w:color w:val="333333"/>
          <w:kern w:val="0"/>
          <w:sz w:val="24"/>
          <w:szCs w:val="24"/>
          <w:lang w:val="es-UY" w:eastAsia="es-UY"/>
          <w14:ligatures w14:val="none"/>
        </w:rPr>
        <w:t>, teniendo así implicancias para la ética personal. Comenzaremos por el segundo y tercer aspecto, antes de llegar al primero.</w:t>
      </w:r>
    </w:p>
    <w:p w14:paraId="760959BD" w14:textId="77777777" w:rsidR="00FB6005" w:rsidRPr="00FB6005" w:rsidRDefault="00FB6005" w:rsidP="00FB6005">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FB6005">
        <w:rPr>
          <w:rFonts w:ascii="Montserrat" w:eastAsia="Times New Roman" w:hAnsi="Montserrat" w:cs="Open Sans"/>
          <w:b/>
          <w:bCs/>
          <w:color w:val="474747"/>
          <w:kern w:val="0"/>
          <w:sz w:val="26"/>
          <w:szCs w:val="26"/>
          <w:lang w:val="es-UY" w:eastAsia="es-UY"/>
          <w14:ligatures w14:val="none"/>
        </w:rPr>
        <w:t>Centralidad del discernimiento en el carisma ignaciano</w:t>
      </w:r>
    </w:p>
    <w:p w14:paraId="5FC48BF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Francisco porta un rasgo que tal vez por demasiado obvio no ha recibido suficiente atención: su formación en la Compañía de Jesús, la Orden religiosa fundada por San Ignacio de Loyola y sus primeros compañeros. </w:t>
      </w:r>
      <w:r w:rsidRPr="00FB6005">
        <w:rPr>
          <w:rFonts w:ascii="Open Sans" w:eastAsia="Times New Roman" w:hAnsi="Open Sans" w:cs="Open Sans"/>
          <w:b/>
          <w:bCs/>
          <w:color w:val="474747"/>
          <w:kern w:val="0"/>
          <w:sz w:val="24"/>
          <w:szCs w:val="24"/>
          <w:lang w:val="es-UY" w:eastAsia="es-UY"/>
          <w14:ligatures w14:val="none"/>
        </w:rPr>
        <w:t>El entonces Padre Bergoglio, sacerdote jesuita y luego Provincial en Argentina, supo ganarse fama de versado en la espiritualidad ignaciana</w:t>
      </w:r>
      <w:r w:rsidRPr="00FB6005">
        <w:rPr>
          <w:rFonts w:ascii="Open Sans" w:eastAsia="Times New Roman" w:hAnsi="Open Sans" w:cs="Open Sans"/>
          <w:color w:val="333333"/>
          <w:kern w:val="0"/>
          <w:sz w:val="24"/>
          <w:szCs w:val="24"/>
          <w:lang w:val="es-UY" w:eastAsia="es-UY"/>
          <w14:ligatures w14:val="none"/>
        </w:rPr>
        <w:t>, donde sobresale el arte del discernimiento de espíritus. Incluso el Papa Francisco ha señalado: “El discernimiento es el carisma de la Compañía [de Jesús]. En mi opinión, es el primer carisma de la Compañía y es en lo que la Compañía debe seguir centrándose…”</w:t>
      </w:r>
      <w:hyperlink r:id="rId8" w:anchor="_ftn2" w:history="1">
        <w:r w:rsidRPr="00FB6005">
          <w:rPr>
            <w:rFonts w:ascii="Open Sans" w:eastAsia="Times New Roman" w:hAnsi="Open Sans" w:cs="Open Sans"/>
            <w:color w:val="D49400"/>
            <w:kern w:val="0"/>
            <w:sz w:val="24"/>
            <w:szCs w:val="24"/>
            <w:lang w:val="es-UY" w:eastAsia="es-UY"/>
            <w14:ligatures w14:val="none"/>
          </w:rPr>
          <w:t>[2]</w:t>
        </w:r>
      </w:hyperlink>
    </w:p>
    <w:p w14:paraId="123B4B25" w14:textId="77777777" w:rsidR="00FB6005" w:rsidRPr="00FB6005" w:rsidRDefault="00FB6005" w:rsidP="00FB6005">
      <w:pPr>
        <w:shd w:val="clear" w:color="auto" w:fill="FFFFFF"/>
        <w:spacing w:after="0"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noProof/>
          <w:color w:val="474747"/>
          <w:kern w:val="0"/>
          <w:sz w:val="21"/>
          <w:szCs w:val="21"/>
          <w:lang w:val="es-UY" w:eastAsia="es-UY"/>
          <w14:ligatures w14:val="none"/>
        </w:rPr>
        <w:drawing>
          <wp:inline distT="0" distB="0" distL="0" distR="0" wp14:anchorId="0AE5A2CE" wp14:editId="4B9C4A9A">
            <wp:extent cx="5149850" cy="2891324"/>
            <wp:effectExtent l="0" t="0" r="0" b="4445"/>
            <wp:docPr id="2" name="Imagen 2" descr="Bergoglio, con la plana mayor de los jesuitas argentinos en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goglio, con la plana mayor de los jesuitas argentinos en 19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2997" cy="2893091"/>
                    </a:xfrm>
                    <a:prstGeom prst="rect">
                      <a:avLst/>
                    </a:prstGeom>
                    <a:noFill/>
                    <a:ln>
                      <a:noFill/>
                    </a:ln>
                  </pic:spPr>
                </pic:pic>
              </a:graphicData>
            </a:graphic>
          </wp:inline>
        </w:drawing>
      </w:r>
    </w:p>
    <w:p w14:paraId="07BE82F1" w14:textId="77777777" w:rsidR="00FB6005" w:rsidRPr="00FB6005" w:rsidRDefault="00FB6005" w:rsidP="00FB6005">
      <w:pPr>
        <w:shd w:val="clear" w:color="auto" w:fill="FFFFFF"/>
        <w:spacing w:line="300" w:lineRule="atLeast"/>
        <w:jc w:val="both"/>
        <w:rPr>
          <w:rFonts w:ascii="Open Sans" w:eastAsia="Times New Roman" w:hAnsi="Open Sans" w:cs="Open Sans"/>
          <w:color w:val="474747"/>
          <w:kern w:val="0"/>
          <w:sz w:val="24"/>
          <w:szCs w:val="24"/>
          <w:lang w:val="es-UY" w:eastAsia="es-UY"/>
          <w14:ligatures w14:val="none"/>
        </w:rPr>
      </w:pPr>
      <w:r w:rsidRPr="00FB6005">
        <w:rPr>
          <w:rFonts w:ascii="Open Sans" w:eastAsia="Times New Roman" w:hAnsi="Open Sans" w:cs="Open Sans"/>
          <w:color w:val="474747"/>
          <w:kern w:val="0"/>
          <w:sz w:val="24"/>
          <w:szCs w:val="24"/>
          <w:lang w:val="es-UY" w:eastAsia="es-UY"/>
          <w14:ligatures w14:val="none"/>
        </w:rPr>
        <w:t>Bergoglio, con la plana mayor de los jesuitas argentinos en 1976</w:t>
      </w:r>
    </w:p>
    <w:p w14:paraId="32B20961"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Ciertamente, en los </w:t>
      </w:r>
      <w:r w:rsidRPr="00FB6005">
        <w:rPr>
          <w:rFonts w:ascii="Open Sans" w:eastAsia="Times New Roman" w:hAnsi="Open Sans" w:cs="Open Sans"/>
          <w:i/>
          <w:iCs/>
          <w:color w:val="474747"/>
          <w:kern w:val="0"/>
          <w:sz w:val="24"/>
          <w:szCs w:val="24"/>
          <w:lang w:val="es-UY" w:eastAsia="es-UY"/>
          <w14:ligatures w14:val="none"/>
        </w:rPr>
        <w:t>Ejercicios Espirituales</w:t>
      </w:r>
      <w:r w:rsidRPr="00FB6005">
        <w:rPr>
          <w:rFonts w:ascii="Open Sans" w:eastAsia="Times New Roman" w:hAnsi="Open Sans" w:cs="Open Sans"/>
          <w:color w:val="333333"/>
          <w:kern w:val="0"/>
          <w:sz w:val="24"/>
          <w:szCs w:val="24"/>
          <w:lang w:val="es-UY" w:eastAsia="es-UY"/>
          <w14:ligatures w14:val="none"/>
        </w:rPr>
        <w:t> (EE), San Ignacio no emplea dicho término expresamente, pero lo da a entender cuando introduce las “Reglas para </w:t>
      </w:r>
      <w:r w:rsidRPr="00FB6005">
        <w:rPr>
          <w:rFonts w:ascii="Open Sans" w:eastAsia="Times New Roman" w:hAnsi="Open Sans" w:cs="Open Sans"/>
          <w:i/>
          <w:iCs/>
          <w:color w:val="474747"/>
          <w:kern w:val="0"/>
          <w:sz w:val="24"/>
          <w:szCs w:val="24"/>
          <w:lang w:val="es-UY" w:eastAsia="es-UY"/>
          <w14:ligatures w14:val="none"/>
        </w:rPr>
        <w:t>sentir</w:t>
      </w:r>
      <w:r w:rsidRPr="00FB6005">
        <w:rPr>
          <w:rFonts w:ascii="Open Sans" w:eastAsia="Times New Roman" w:hAnsi="Open Sans" w:cs="Open Sans"/>
          <w:color w:val="333333"/>
          <w:kern w:val="0"/>
          <w:sz w:val="24"/>
          <w:szCs w:val="24"/>
          <w:lang w:val="es-UY" w:eastAsia="es-UY"/>
          <w14:ligatures w14:val="none"/>
        </w:rPr>
        <w:t> y </w:t>
      </w:r>
      <w:r w:rsidRPr="00FB6005">
        <w:rPr>
          <w:rFonts w:ascii="Open Sans" w:eastAsia="Times New Roman" w:hAnsi="Open Sans" w:cs="Open Sans"/>
          <w:i/>
          <w:iCs/>
          <w:color w:val="474747"/>
          <w:kern w:val="0"/>
          <w:sz w:val="24"/>
          <w:szCs w:val="24"/>
          <w:lang w:val="es-UY" w:eastAsia="es-UY"/>
          <w14:ligatures w14:val="none"/>
        </w:rPr>
        <w:t>conocer</w:t>
      </w:r>
      <w:r w:rsidRPr="00FB6005">
        <w:rPr>
          <w:rFonts w:ascii="Open Sans" w:eastAsia="Times New Roman" w:hAnsi="Open Sans" w:cs="Open Sans"/>
          <w:color w:val="333333"/>
          <w:kern w:val="0"/>
          <w:sz w:val="24"/>
          <w:szCs w:val="24"/>
          <w:lang w:val="es-UY" w:eastAsia="es-UY"/>
          <w14:ligatures w14:val="none"/>
        </w:rPr>
        <w:t> de alguna manera las varias </w:t>
      </w:r>
      <w:r w:rsidRPr="00FB6005">
        <w:rPr>
          <w:rFonts w:ascii="Open Sans" w:eastAsia="Times New Roman" w:hAnsi="Open Sans" w:cs="Open Sans"/>
          <w:i/>
          <w:iCs/>
          <w:color w:val="474747"/>
          <w:kern w:val="0"/>
          <w:sz w:val="24"/>
          <w:szCs w:val="24"/>
          <w:lang w:val="es-UY" w:eastAsia="es-UY"/>
          <w14:ligatures w14:val="none"/>
        </w:rPr>
        <w:t>mociones</w:t>
      </w:r>
      <w:r w:rsidRPr="00FB6005">
        <w:rPr>
          <w:rFonts w:ascii="Open Sans" w:eastAsia="Times New Roman" w:hAnsi="Open Sans" w:cs="Open Sans"/>
          <w:color w:val="333333"/>
          <w:kern w:val="0"/>
          <w:sz w:val="24"/>
          <w:szCs w:val="24"/>
          <w:lang w:val="es-UY" w:eastAsia="es-UY"/>
          <w14:ligatures w14:val="none"/>
        </w:rPr>
        <w:t> [afectos con direccionalidad] que en el ánima se causan: las buenas, para recibirlas, y las malas, para rechazarlas”.</w:t>
      </w:r>
      <w:hyperlink r:id="rId10" w:anchor="_ftn3" w:history="1">
        <w:r w:rsidRPr="00FB6005">
          <w:rPr>
            <w:rFonts w:ascii="Open Sans" w:eastAsia="Times New Roman" w:hAnsi="Open Sans" w:cs="Open Sans"/>
            <w:color w:val="D49400"/>
            <w:kern w:val="0"/>
            <w:sz w:val="24"/>
            <w:szCs w:val="24"/>
            <w:lang w:val="es-UY" w:eastAsia="es-UY"/>
            <w14:ligatures w14:val="none"/>
          </w:rPr>
          <w:t>[3]</w:t>
        </w:r>
      </w:hyperlink>
      <w:r w:rsidRPr="00FB6005">
        <w:rPr>
          <w:rFonts w:ascii="Open Sans" w:eastAsia="Times New Roman" w:hAnsi="Open Sans" w:cs="Open Sans"/>
          <w:color w:val="333333"/>
          <w:kern w:val="0"/>
          <w:sz w:val="24"/>
          <w:szCs w:val="24"/>
          <w:lang w:val="es-UY" w:eastAsia="es-UY"/>
          <w14:ligatures w14:val="none"/>
        </w:rPr>
        <w:t> Así, existen “tres condiciones que San Ignacio de Loyola plantea en los </w:t>
      </w:r>
      <w:r w:rsidRPr="00FB6005">
        <w:rPr>
          <w:rFonts w:ascii="Open Sans" w:eastAsia="Times New Roman" w:hAnsi="Open Sans" w:cs="Open Sans"/>
          <w:i/>
          <w:iCs/>
          <w:color w:val="474747"/>
          <w:kern w:val="0"/>
          <w:sz w:val="24"/>
          <w:szCs w:val="24"/>
          <w:lang w:val="es-UY" w:eastAsia="es-UY"/>
          <w14:ligatures w14:val="none"/>
        </w:rPr>
        <w:t>Ejercicios Espirituales</w:t>
      </w:r>
      <w:r w:rsidRPr="00FB6005">
        <w:rPr>
          <w:rFonts w:ascii="Open Sans" w:eastAsia="Times New Roman" w:hAnsi="Open Sans" w:cs="Open Sans"/>
          <w:color w:val="333333"/>
          <w:kern w:val="0"/>
          <w:sz w:val="24"/>
          <w:szCs w:val="24"/>
          <w:lang w:val="es-UY" w:eastAsia="es-UY"/>
          <w14:ligatures w14:val="none"/>
        </w:rPr>
        <w:t> para su modelo de discernimiento y que podemos sintetizar en tres frases de los mismos”: </w:t>
      </w:r>
      <w:r w:rsidRPr="00FB6005">
        <w:rPr>
          <w:rFonts w:ascii="Open Sans" w:eastAsia="Times New Roman" w:hAnsi="Open Sans" w:cs="Open Sans"/>
          <w:b/>
          <w:bCs/>
          <w:color w:val="474747"/>
          <w:kern w:val="0"/>
          <w:sz w:val="24"/>
          <w:szCs w:val="24"/>
          <w:lang w:val="es-UY" w:eastAsia="es-UY"/>
          <w14:ligatures w14:val="none"/>
        </w:rPr>
        <w:t>“pedir conocimiento del mundo” (EE 63), discernir “juntamente contemplando su vida” (la de Jesús) (EE 135), hacer elección de cosas “que militen dentro de la santa madre Iglesia”</w:t>
      </w:r>
      <w:r w:rsidRPr="00FB6005">
        <w:rPr>
          <w:rFonts w:ascii="Open Sans" w:eastAsia="Times New Roman" w:hAnsi="Open Sans" w:cs="Open Sans"/>
          <w:color w:val="333333"/>
          <w:kern w:val="0"/>
          <w:sz w:val="24"/>
          <w:szCs w:val="24"/>
          <w:lang w:val="es-UY" w:eastAsia="es-UY"/>
          <w14:ligatures w14:val="none"/>
        </w:rPr>
        <w:t> (EE 170).</w:t>
      </w:r>
      <w:hyperlink r:id="rId11" w:anchor="_ftn4" w:history="1">
        <w:r w:rsidRPr="00FB6005">
          <w:rPr>
            <w:rFonts w:ascii="Open Sans" w:eastAsia="Times New Roman" w:hAnsi="Open Sans" w:cs="Open Sans"/>
            <w:color w:val="D49400"/>
            <w:kern w:val="0"/>
            <w:sz w:val="24"/>
            <w:szCs w:val="24"/>
            <w:lang w:val="es-UY" w:eastAsia="es-UY"/>
            <w14:ligatures w14:val="none"/>
          </w:rPr>
          <w:t>[4]</w:t>
        </w:r>
      </w:hyperlink>
    </w:p>
    <w:p w14:paraId="731EA00F" w14:textId="77777777" w:rsidR="00FB6005" w:rsidRPr="00FB6005" w:rsidRDefault="00FB6005" w:rsidP="00FB6005">
      <w:pPr>
        <w:shd w:val="clear" w:color="auto" w:fill="FFFFFF"/>
        <w:spacing w:before="300" w:line="300" w:lineRule="atLeast"/>
        <w:jc w:val="center"/>
        <w:rPr>
          <w:rFonts w:ascii="Montserrat" w:eastAsia="Times New Roman" w:hAnsi="Montserrat" w:cs="Open Sans"/>
          <w:b/>
          <w:bCs/>
          <w:i/>
          <w:iCs/>
          <w:color w:val="D49400"/>
          <w:kern w:val="0"/>
          <w:sz w:val="28"/>
          <w:szCs w:val="28"/>
          <w:lang w:val="es-UY" w:eastAsia="es-UY"/>
          <w14:ligatures w14:val="none"/>
        </w:rPr>
      </w:pPr>
      <w:r w:rsidRPr="00FB6005">
        <w:rPr>
          <w:rFonts w:ascii="Montserrat" w:eastAsia="Times New Roman" w:hAnsi="Montserrat" w:cs="Open Sans"/>
          <w:b/>
          <w:bCs/>
          <w:i/>
          <w:iCs/>
          <w:color w:val="D49400"/>
          <w:kern w:val="0"/>
          <w:sz w:val="28"/>
          <w:szCs w:val="28"/>
          <w:lang w:val="es-UY" w:eastAsia="es-UY"/>
          <w14:ligatures w14:val="none"/>
        </w:rPr>
        <w:t xml:space="preserve">El discernimiento es “la danza de los íntimos deseos” (Carlos </w:t>
      </w:r>
      <w:proofErr w:type="spellStart"/>
      <w:r w:rsidRPr="00FB6005">
        <w:rPr>
          <w:rFonts w:ascii="Montserrat" w:eastAsia="Times New Roman" w:hAnsi="Montserrat" w:cs="Open Sans"/>
          <w:b/>
          <w:bCs/>
          <w:i/>
          <w:iCs/>
          <w:color w:val="D49400"/>
          <w:kern w:val="0"/>
          <w:sz w:val="28"/>
          <w:szCs w:val="28"/>
          <w:lang w:val="es-UY" w:eastAsia="es-UY"/>
          <w14:ligatures w14:val="none"/>
        </w:rPr>
        <w:t>Cabarrús</w:t>
      </w:r>
      <w:proofErr w:type="spellEnd"/>
      <w:r w:rsidRPr="00FB6005">
        <w:rPr>
          <w:rFonts w:ascii="Montserrat" w:eastAsia="Times New Roman" w:hAnsi="Montserrat" w:cs="Open Sans"/>
          <w:b/>
          <w:bCs/>
          <w:i/>
          <w:iCs/>
          <w:color w:val="D49400"/>
          <w:kern w:val="0"/>
          <w:sz w:val="28"/>
          <w:szCs w:val="28"/>
          <w:lang w:val="es-UY" w:eastAsia="es-UY"/>
          <w14:ligatures w14:val="none"/>
        </w:rPr>
        <w:t xml:space="preserve">, SJ), “aprender el alfabeto del corazón” (Toni </w:t>
      </w:r>
      <w:proofErr w:type="spellStart"/>
      <w:r w:rsidRPr="00FB6005">
        <w:rPr>
          <w:rFonts w:ascii="Montserrat" w:eastAsia="Times New Roman" w:hAnsi="Montserrat" w:cs="Open Sans"/>
          <w:b/>
          <w:bCs/>
          <w:i/>
          <w:iCs/>
          <w:color w:val="D49400"/>
          <w:kern w:val="0"/>
          <w:sz w:val="28"/>
          <w:szCs w:val="28"/>
          <w:lang w:val="es-UY" w:eastAsia="es-UY"/>
          <w14:ligatures w14:val="none"/>
        </w:rPr>
        <w:t>Català</w:t>
      </w:r>
      <w:proofErr w:type="spellEnd"/>
      <w:r w:rsidRPr="00FB6005">
        <w:rPr>
          <w:rFonts w:ascii="Montserrat" w:eastAsia="Times New Roman" w:hAnsi="Montserrat" w:cs="Open Sans"/>
          <w:b/>
          <w:bCs/>
          <w:i/>
          <w:iCs/>
          <w:color w:val="D49400"/>
          <w:kern w:val="0"/>
          <w:sz w:val="28"/>
          <w:szCs w:val="28"/>
          <w:lang w:val="es-UY" w:eastAsia="es-UY"/>
          <w14:ligatures w14:val="none"/>
        </w:rPr>
        <w:t xml:space="preserve">, SJ), “escucha sagrada para unir cielo y tierra” (Javier Melloni, SJ) y “un movimiento del amor” (Darío </w:t>
      </w:r>
      <w:proofErr w:type="spellStart"/>
      <w:r w:rsidRPr="00FB6005">
        <w:rPr>
          <w:rFonts w:ascii="Montserrat" w:eastAsia="Times New Roman" w:hAnsi="Montserrat" w:cs="Open Sans"/>
          <w:b/>
          <w:bCs/>
          <w:i/>
          <w:iCs/>
          <w:color w:val="D49400"/>
          <w:kern w:val="0"/>
          <w:sz w:val="28"/>
          <w:szCs w:val="28"/>
          <w:lang w:val="es-UY" w:eastAsia="es-UY"/>
          <w14:ligatures w14:val="none"/>
        </w:rPr>
        <w:t>Mollà</w:t>
      </w:r>
      <w:proofErr w:type="spellEnd"/>
      <w:r w:rsidRPr="00FB6005">
        <w:rPr>
          <w:rFonts w:ascii="Montserrat" w:eastAsia="Times New Roman" w:hAnsi="Montserrat" w:cs="Open Sans"/>
          <w:b/>
          <w:bCs/>
          <w:i/>
          <w:iCs/>
          <w:color w:val="D49400"/>
          <w:kern w:val="0"/>
          <w:sz w:val="28"/>
          <w:szCs w:val="28"/>
          <w:lang w:val="es-UY" w:eastAsia="es-UY"/>
          <w14:ligatures w14:val="none"/>
        </w:rPr>
        <w:t>, SJ)</w:t>
      </w:r>
    </w:p>
    <w:p w14:paraId="78EF46C6"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Pero si esta es la </w:t>
      </w:r>
      <w:r w:rsidRPr="00FB6005">
        <w:rPr>
          <w:rFonts w:ascii="Open Sans" w:eastAsia="Times New Roman" w:hAnsi="Open Sans" w:cs="Open Sans"/>
          <w:i/>
          <w:iCs/>
          <w:color w:val="474747"/>
          <w:kern w:val="0"/>
          <w:sz w:val="24"/>
          <w:szCs w:val="24"/>
          <w:lang w:val="es-UY" w:eastAsia="es-UY"/>
          <w14:ligatures w14:val="none"/>
        </w:rPr>
        <w:t>letra</w:t>
      </w:r>
      <w:r w:rsidRPr="00FB6005">
        <w:rPr>
          <w:rFonts w:ascii="Open Sans" w:eastAsia="Times New Roman" w:hAnsi="Open Sans" w:cs="Open Sans"/>
          <w:color w:val="333333"/>
          <w:kern w:val="0"/>
          <w:sz w:val="24"/>
          <w:szCs w:val="24"/>
          <w:lang w:val="es-UY" w:eastAsia="es-UY"/>
          <w14:ligatures w14:val="none"/>
        </w:rPr>
        <w:t>, algunas definiciones captan más bien la </w:t>
      </w:r>
      <w:r w:rsidRPr="00FB6005">
        <w:rPr>
          <w:rFonts w:ascii="Open Sans" w:eastAsia="Times New Roman" w:hAnsi="Open Sans" w:cs="Open Sans"/>
          <w:i/>
          <w:iCs/>
          <w:color w:val="474747"/>
          <w:kern w:val="0"/>
          <w:sz w:val="24"/>
          <w:szCs w:val="24"/>
          <w:lang w:val="es-UY" w:eastAsia="es-UY"/>
          <w14:ligatures w14:val="none"/>
        </w:rPr>
        <w:t>música</w:t>
      </w:r>
      <w:r w:rsidRPr="00FB6005">
        <w:rPr>
          <w:rFonts w:ascii="Open Sans" w:eastAsia="Times New Roman" w:hAnsi="Open Sans" w:cs="Open Sans"/>
          <w:color w:val="333333"/>
          <w:kern w:val="0"/>
          <w:sz w:val="24"/>
          <w:szCs w:val="24"/>
          <w:lang w:val="es-UY" w:eastAsia="es-UY"/>
          <w14:ligatures w14:val="none"/>
        </w:rPr>
        <w:t xml:space="preserve"> qué quiso transmitir el santo de Loyola, basándose en su propia experiencia y en una sabiduría de vida acumulada en el cristianismo a lo largo de los siglos. Así, el discernimiento es “la danza de los íntimos deseos” (Carlos </w:t>
      </w:r>
      <w:proofErr w:type="spellStart"/>
      <w:r w:rsidRPr="00FB6005">
        <w:rPr>
          <w:rFonts w:ascii="Open Sans" w:eastAsia="Times New Roman" w:hAnsi="Open Sans" w:cs="Open Sans"/>
          <w:color w:val="333333"/>
          <w:kern w:val="0"/>
          <w:sz w:val="24"/>
          <w:szCs w:val="24"/>
          <w:lang w:val="es-UY" w:eastAsia="es-UY"/>
          <w14:ligatures w14:val="none"/>
        </w:rPr>
        <w:t>Cabarrús</w:t>
      </w:r>
      <w:proofErr w:type="spellEnd"/>
      <w:r w:rsidRPr="00FB6005">
        <w:rPr>
          <w:rFonts w:ascii="Open Sans" w:eastAsia="Times New Roman" w:hAnsi="Open Sans" w:cs="Open Sans"/>
          <w:color w:val="333333"/>
          <w:kern w:val="0"/>
          <w:sz w:val="24"/>
          <w:szCs w:val="24"/>
          <w:lang w:val="es-UY" w:eastAsia="es-UY"/>
          <w14:ligatures w14:val="none"/>
        </w:rPr>
        <w:t xml:space="preserve">, SJ), “aprender el alfabeto del corazón” (Toni </w:t>
      </w:r>
      <w:proofErr w:type="spellStart"/>
      <w:r w:rsidRPr="00FB6005">
        <w:rPr>
          <w:rFonts w:ascii="Open Sans" w:eastAsia="Times New Roman" w:hAnsi="Open Sans" w:cs="Open Sans"/>
          <w:color w:val="333333"/>
          <w:kern w:val="0"/>
          <w:sz w:val="24"/>
          <w:szCs w:val="24"/>
          <w:lang w:val="es-UY" w:eastAsia="es-UY"/>
          <w14:ligatures w14:val="none"/>
        </w:rPr>
        <w:t>Català</w:t>
      </w:r>
      <w:proofErr w:type="spellEnd"/>
      <w:r w:rsidRPr="00FB6005">
        <w:rPr>
          <w:rFonts w:ascii="Open Sans" w:eastAsia="Times New Roman" w:hAnsi="Open Sans" w:cs="Open Sans"/>
          <w:color w:val="333333"/>
          <w:kern w:val="0"/>
          <w:sz w:val="24"/>
          <w:szCs w:val="24"/>
          <w:lang w:val="es-UY" w:eastAsia="es-UY"/>
          <w14:ligatures w14:val="none"/>
        </w:rPr>
        <w:t xml:space="preserve">, SJ), “escucha sagrada para unir cielo y tierra” (Javier Melloni, SJ) y “un movimiento del amor” (Darío </w:t>
      </w:r>
      <w:proofErr w:type="spellStart"/>
      <w:r w:rsidRPr="00FB6005">
        <w:rPr>
          <w:rFonts w:ascii="Open Sans" w:eastAsia="Times New Roman" w:hAnsi="Open Sans" w:cs="Open Sans"/>
          <w:color w:val="333333"/>
          <w:kern w:val="0"/>
          <w:sz w:val="24"/>
          <w:szCs w:val="24"/>
          <w:lang w:val="es-UY" w:eastAsia="es-UY"/>
          <w14:ligatures w14:val="none"/>
        </w:rPr>
        <w:t>Mollà</w:t>
      </w:r>
      <w:proofErr w:type="spellEnd"/>
      <w:r w:rsidRPr="00FB6005">
        <w:rPr>
          <w:rFonts w:ascii="Open Sans" w:eastAsia="Times New Roman" w:hAnsi="Open Sans" w:cs="Open Sans"/>
          <w:color w:val="333333"/>
          <w:kern w:val="0"/>
          <w:sz w:val="24"/>
          <w:szCs w:val="24"/>
          <w:lang w:val="es-UY" w:eastAsia="es-UY"/>
          <w14:ligatures w14:val="none"/>
        </w:rPr>
        <w:t>, SJ).</w:t>
      </w:r>
      <w:r w:rsidRPr="00FB6005">
        <w:rPr>
          <w:rFonts w:ascii="Open Sans" w:eastAsia="Times New Roman" w:hAnsi="Open Sans" w:cs="Open Sans"/>
          <w:b/>
          <w:bCs/>
          <w:color w:val="474747"/>
          <w:kern w:val="0"/>
          <w:sz w:val="24"/>
          <w:szCs w:val="24"/>
          <w:lang w:val="es-UY" w:eastAsia="es-UY"/>
          <w14:ligatures w14:val="none"/>
        </w:rPr>
        <w:t> Francisco hizo su propio aporte el tema, señalando que el discernimiento es “un don sobrenatural”</w:t>
      </w:r>
      <w:r w:rsidRPr="00FB6005">
        <w:rPr>
          <w:rFonts w:ascii="Open Sans" w:eastAsia="Times New Roman" w:hAnsi="Open Sans" w:cs="Open Sans"/>
          <w:color w:val="333333"/>
          <w:kern w:val="0"/>
          <w:sz w:val="24"/>
          <w:szCs w:val="24"/>
          <w:lang w:val="es-UY" w:eastAsia="es-UY"/>
          <w14:ligatures w14:val="none"/>
        </w:rPr>
        <w:t>, agregando: “Está en juego el sentido de mi vida ante el Padre que me conoce y me ama, el verdadero para qué de mi existencia que nadie conoce mejor que él. El discernimiento, en definitiva, conduce a la fuente misma de la vida que no muere, es decir, conocer al Padre, el único Dios verdadero, y al que ha enviado: Jesucristo (cf. Jn 17,3)”.</w:t>
      </w:r>
      <w:hyperlink r:id="rId12" w:anchor="_ftn5" w:history="1">
        <w:r w:rsidRPr="00FB6005">
          <w:rPr>
            <w:rFonts w:ascii="Open Sans" w:eastAsia="Times New Roman" w:hAnsi="Open Sans" w:cs="Open Sans"/>
            <w:color w:val="D49400"/>
            <w:kern w:val="0"/>
            <w:sz w:val="24"/>
            <w:szCs w:val="24"/>
            <w:lang w:val="es-UY" w:eastAsia="es-UY"/>
            <w14:ligatures w14:val="none"/>
          </w:rPr>
          <w:t>[5]</w:t>
        </w:r>
      </w:hyperlink>
    </w:p>
    <w:p w14:paraId="0E7B065B" w14:textId="77777777" w:rsidR="00FB6005" w:rsidRPr="00FB6005" w:rsidRDefault="00FB6005" w:rsidP="00FB6005">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FB6005">
        <w:rPr>
          <w:rFonts w:ascii="Montserrat" w:eastAsia="Times New Roman" w:hAnsi="Montserrat" w:cs="Open Sans"/>
          <w:b/>
          <w:bCs/>
          <w:color w:val="474747"/>
          <w:kern w:val="0"/>
          <w:sz w:val="26"/>
          <w:szCs w:val="26"/>
          <w:lang w:val="es-UY" w:eastAsia="es-UY"/>
          <w14:ligatures w14:val="none"/>
        </w:rPr>
        <w:t>Discernimiento para todos/as</w:t>
      </w:r>
    </w:p>
    <w:p w14:paraId="20AF7E3E"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 xml:space="preserve">Compartimos la perspectiva que planteara Josep Vives Solé, SJ, cuando decía: “…lo central en la enseñanza </w:t>
      </w:r>
      <w:proofErr w:type="spellStart"/>
      <w:r w:rsidRPr="00FB6005">
        <w:rPr>
          <w:rFonts w:ascii="Open Sans" w:eastAsia="Times New Roman" w:hAnsi="Open Sans" w:cs="Open Sans"/>
          <w:color w:val="333333"/>
          <w:kern w:val="0"/>
          <w:sz w:val="24"/>
          <w:szCs w:val="24"/>
          <w:lang w:val="es-UY" w:eastAsia="es-UY"/>
          <w14:ligatures w14:val="none"/>
        </w:rPr>
        <w:t>práxica</w:t>
      </w:r>
      <w:proofErr w:type="spellEnd"/>
      <w:r w:rsidRPr="00FB6005">
        <w:rPr>
          <w:rFonts w:ascii="Open Sans" w:eastAsia="Times New Roman" w:hAnsi="Open Sans" w:cs="Open Sans"/>
          <w:color w:val="333333"/>
          <w:kern w:val="0"/>
          <w:sz w:val="24"/>
          <w:szCs w:val="24"/>
          <w:lang w:val="es-UY" w:eastAsia="es-UY"/>
          <w14:ligatures w14:val="none"/>
        </w:rPr>
        <w:t xml:space="preserve"> de Jesús es que no hemos de regular solamente nuestra conducta por sujeción a un código preestablecido, a un sistema de leyes morales o de prácticas religiosas y culturales, sino por el ejercicio responsable de la libertad de hijos”.</w:t>
      </w:r>
      <w:hyperlink r:id="rId13" w:anchor="_ftn6" w:history="1">
        <w:r w:rsidRPr="00FB6005">
          <w:rPr>
            <w:rFonts w:ascii="Open Sans" w:eastAsia="Times New Roman" w:hAnsi="Open Sans" w:cs="Open Sans"/>
            <w:color w:val="D49400"/>
            <w:kern w:val="0"/>
            <w:sz w:val="24"/>
            <w:szCs w:val="24"/>
            <w:lang w:val="es-UY" w:eastAsia="es-UY"/>
            <w14:ligatures w14:val="none"/>
          </w:rPr>
          <w:t>[6]</w:t>
        </w:r>
      </w:hyperlink>
      <w:r w:rsidRPr="00FB6005">
        <w:rPr>
          <w:rFonts w:ascii="Open Sans" w:eastAsia="Times New Roman" w:hAnsi="Open Sans" w:cs="Open Sans"/>
          <w:color w:val="333333"/>
          <w:kern w:val="0"/>
          <w:sz w:val="24"/>
          <w:szCs w:val="24"/>
          <w:lang w:val="es-UY" w:eastAsia="es-UY"/>
          <w14:ligatures w14:val="none"/>
        </w:rPr>
        <w:t xml:space="preserve"> De hecho, cuando Darío </w:t>
      </w:r>
      <w:proofErr w:type="spellStart"/>
      <w:r w:rsidRPr="00FB6005">
        <w:rPr>
          <w:rFonts w:ascii="Open Sans" w:eastAsia="Times New Roman" w:hAnsi="Open Sans" w:cs="Open Sans"/>
          <w:color w:val="333333"/>
          <w:kern w:val="0"/>
          <w:sz w:val="24"/>
          <w:szCs w:val="24"/>
          <w:lang w:val="es-UY" w:eastAsia="es-UY"/>
          <w14:ligatures w14:val="none"/>
        </w:rPr>
        <w:t>Mollà</w:t>
      </w:r>
      <w:proofErr w:type="spellEnd"/>
      <w:r w:rsidRPr="00FB6005">
        <w:rPr>
          <w:rFonts w:ascii="Open Sans" w:eastAsia="Times New Roman" w:hAnsi="Open Sans" w:cs="Open Sans"/>
          <w:color w:val="333333"/>
          <w:kern w:val="0"/>
          <w:sz w:val="24"/>
          <w:szCs w:val="24"/>
          <w:lang w:val="es-UY" w:eastAsia="es-UY"/>
          <w14:ligatures w14:val="none"/>
        </w:rPr>
        <w:t>, SJ, se pregunta “¿Y qué define la madurez del sujeto cristiano?”, la respuesta que brinda apunta a destacar </w:t>
      </w:r>
      <w:r w:rsidRPr="00FB6005">
        <w:rPr>
          <w:rFonts w:ascii="Open Sans" w:eastAsia="Times New Roman" w:hAnsi="Open Sans" w:cs="Open Sans"/>
          <w:b/>
          <w:bCs/>
          <w:color w:val="474747"/>
          <w:kern w:val="0"/>
          <w:sz w:val="24"/>
          <w:szCs w:val="24"/>
          <w:lang w:val="es-UY" w:eastAsia="es-UY"/>
          <w14:ligatures w14:val="none"/>
        </w:rPr>
        <w:t xml:space="preserve">“dos elementos básicos que hacen maduro/a </w:t>
      </w:r>
      <w:proofErr w:type="spellStart"/>
      <w:r w:rsidRPr="00FB6005">
        <w:rPr>
          <w:rFonts w:ascii="Open Sans" w:eastAsia="Times New Roman" w:hAnsi="Open Sans" w:cs="Open Sans"/>
          <w:b/>
          <w:bCs/>
          <w:color w:val="474747"/>
          <w:kern w:val="0"/>
          <w:sz w:val="24"/>
          <w:szCs w:val="24"/>
          <w:lang w:val="es-UY" w:eastAsia="es-UY"/>
          <w14:ligatures w14:val="none"/>
        </w:rPr>
        <w:t>a</w:t>
      </w:r>
      <w:proofErr w:type="spellEnd"/>
      <w:r w:rsidRPr="00FB6005">
        <w:rPr>
          <w:rFonts w:ascii="Open Sans" w:eastAsia="Times New Roman" w:hAnsi="Open Sans" w:cs="Open Sans"/>
          <w:b/>
          <w:bCs/>
          <w:color w:val="474747"/>
          <w:kern w:val="0"/>
          <w:sz w:val="24"/>
          <w:szCs w:val="24"/>
          <w:lang w:val="es-UY" w:eastAsia="es-UY"/>
          <w14:ligatures w14:val="none"/>
        </w:rPr>
        <w:t xml:space="preserve"> un cristiano/a: por una parte, la integración de las diversas facetas de su vida y persona; en segundo lugar, la capacidad de discernimiento</w:t>
      </w:r>
      <w:r w:rsidRPr="00FB6005">
        <w:rPr>
          <w:rFonts w:ascii="Open Sans" w:eastAsia="Times New Roman" w:hAnsi="Open Sans" w:cs="Open Sans"/>
          <w:color w:val="333333"/>
          <w:kern w:val="0"/>
          <w:sz w:val="24"/>
          <w:szCs w:val="24"/>
          <w:lang w:val="es-UY" w:eastAsia="es-UY"/>
          <w14:ligatures w14:val="none"/>
        </w:rPr>
        <w:t> (…) o sea de situar su vida y situarse a sí mismo, con criterio propio, en el proyecto de Dios para el mundo y en el momento concreto en que vive”.</w:t>
      </w:r>
      <w:hyperlink r:id="rId14" w:anchor="_ftn7" w:history="1">
        <w:r w:rsidRPr="00FB6005">
          <w:rPr>
            <w:rFonts w:ascii="Open Sans" w:eastAsia="Times New Roman" w:hAnsi="Open Sans" w:cs="Open Sans"/>
            <w:color w:val="D49400"/>
            <w:kern w:val="0"/>
            <w:sz w:val="24"/>
            <w:szCs w:val="24"/>
            <w:lang w:val="es-UY" w:eastAsia="es-UY"/>
            <w14:ligatures w14:val="none"/>
          </w:rPr>
          <w:t>[7]</w:t>
        </w:r>
      </w:hyperlink>
    </w:p>
    <w:p w14:paraId="078AD84F" w14:textId="77777777" w:rsidR="00FB6005" w:rsidRPr="00FB6005" w:rsidRDefault="00FB6005" w:rsidP="00FB6005">
      <w:pPr>
        <w:shd w:val="clear" w:color="auto" w:fill="FFFFFF"/>
        <w:spacing w:after="0"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noProof/>
          <w:color w:val="474747"/>
          <w:kern w:val="0"/>
          <w:sz w:val="21"/>
          <w:szCs w:val="21"/>
          <w:lang w:val="es-UY" w:eastAsia="es-UY"/>
          <w14:ligatures w14:val="none"/>
        </w:rPr>
        <w:drawing>
          <wp:inline distT="0" distB="0" distL="0" distR="0" wp14:anchorId="684DD5E9" wp14:editId="31100787">
            <wp:extent cx="5194300" cy="2916280"/>
            <wp:effectExtent l="0" t="0" r="6350" b="0"/>
            <wp:docPr id="3" name="Imagen 3" descr="Bergoglio en su discurso del Ange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oglio en su discurso del Angel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320" cy="2920221"/>
                    </a:xfrm>
                    <a:prstGeom prst="rect">
                      <a:avLst/>
                    </a:prstGeom>
                    <a:noFill/>
                    <a:ln>
                      <a:noFill/>
                    </a:ln>
                  </pic:spPr>
                </pic:pic>
              </a:graphicData>
            </a:graphic>
          </wp:inline>
        </w:drawing>
      </w:r>
    </w:p>
    <w:p w14:paraId="7499029F" w14:textId="77777777" w:rsidR="00FB6005" w:rsidRPr="00FB6005" w:rsidRDefault="00FB6005" w:rsidP="00FB6005">
      <w:pPr>
        <w:shd w:val="clear" w:color="auto" w:fill="FFFFFF"/>
        <w:spacing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color w:val="474747"/>
          <w:kern w:val="0"/>
          <w:sz w:val="21"/>
          <w:szCs w:val="21"/>
          <w:lang w:val="es-UY" w:eastAsia="es-UY"/>
          <w14:ligatures w14:val="none"/>
        </w:rPr>
        <w:t xml:space="preserve">Bergoglio en su discurso del </w:t>
      </w:r>
      <w:proofErr w:type="spellStart"/>
      <w:r w:rsidRPr="00FB6005">
        <w:rPr>
          <w:rFonts w:ascii="Open Sans" w:eastAsia="Times New Roman" w:hAnsi="Open Sans" w:cs="Open Sans"/>
          <w:color w:val="474747"/>
          <w:kern w:val="0"/>
          <w:sz w:val="21"/>
          <w:szCs w:val="21"/>
          <w:lang w:val="es-UY" w:eastAsia="es-UY"/>
          <w14:ligatures w14:val="none"/>
        </w:rPr>
        <w:t>Angelus</w:t>
      </w:r>
      <w:proofErr w:type="spellEnd"/>
    </w:p>
    <w:p w14:paraId="2D06893F"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Luego de constatar la “actualidad del discernimiento”, “contra esta voluntad de autonomía suicida, de ser yo el centro absoluto sin consideración a nadie”, dado que </w:t>
      </w:r>
      <w:r w:rsidRPr="00FB6005">
        <w:rPr>
          <w:rFonts w:ascii="Open Sans" w:eastAsia="Times New Roman" w:hAnsi="Open Sans" w:cs="Open Sans"/>
          <w:b/>
          <w:bCs/>
          <w:color w:val="474747"/>
          <w:kern w:val="0"/>
          <w:sz w:val="24"/>
          <w:szCs w:val="24"/>
          <w:lang w:val="es-UY" w:eastAsia="es-UY"/>
          <w14:ligatures w14:val="none"/>
        </w:rPr>
        <w:t>“el discernimiento nos debiera hacer capaces de ser críticos con respecto al pensamiento global, al pensamiento único,</w:t>
      </w:r>
      <w:r w:rsidRPr="00FB6005">
        <w:rPr>
          <w:rFonts w:ascii="Open Sans" w:eastAsia="Times New Roman" w:hAnsi="Open Sans" w:cs="Open Sans"/>
          <w:color w:val="333333"/>
          <w:kern w:val="0"/>
          <w:sz w:val="24"/>
          <w:szCs w:val="24"/>
          <w:lang w:val="es-UY" w:eastAsia="es-UY"/>
          <w14:ligatures w14:val="none"/>
        </w:rPr>
        <w:t> que más que pensamiento son valores o ‘concupiscencias’ únicas”,</w:t>
      </w:r>
      <w:hyperlink r:id="rId16" w:anchor="_ftn8" w:history="1">
        <w:r w:rsidRPr="00FB6005">
          <w:rPr>
            <w:rFonts w:ascii="Open Sans" w:eastAsia="Times New Roman" w:hAnsi="Open Sans" w:cs="Open Sans"/>
            <w:color w:val="D49400"/>
            <w:kern w:val="0"/>
            <w:sz w:val="24"/>
            <w:szCs w:val="24"/>
            <w:lang w:val="es-UY" w:eastAsia="es-UY"/>
            <w14:ligatures w14:val="none"/>
          </w:rPr>
          <w:t>[8]</w:t>
        </w:r>
      </w:hyperlink>
      <w:r w:rsidRPr="00FB6005">
        <w:rPr>
          <w:rFonts w:ascii="Open Sans" w:eastAsia="Times New Roman" w:hAnsi="Open Sans" w:cs="Open Sans"/>
          <w:color w:val="333333"/>
          <w:kern w:val="0"/>
          <w:sz w:val="24"/>
          <w:szCs w:val="24"/>
          <w:lang w:val="es-UY" w:eastAsia="es-UY"/>
          <w14:ligatures w14:val="none"/>
        </w:rPr>
        <w:t> Vives Solé se preguntaba en 1999: “¿Es posible llevar a la gente a esta responsabilidad, a esta corresponsabilidad? ¿Es posible el discernimiento para todos?” Estos interrogantes surgían de una constatación: “Hay quien pretende que a la mayoría les bastan los mandamientos: que el Papa, obispos, sacerdotes… digan bien claro lo que hay que hacer, y no metamos a la gente en líos de discernimiento, que sólo son para los selectos. ¿Debe ser esto así: Mandamientos para todos y, para algunos, discernimiento?”</w:t>
      </w:r>
      <w:hyperlink r:id="rId17" w:anchor="_ftn9" w:history="1">
        <w:r w:rsidRPr="00FB6005">
          <w:rPr>
            <w:rFonts w:ascii="Open Sans" w:eastAsia="Times New Roman" w:hAnsi="Open Sans" w:cs="Open Sans"/>
            <w:color w:val="D49400"/>
            <w:kern w:val="0"/>
            <w:sz w:val="24"/>
            <w:szCs w:val="24"/>
            <w:lang w:val="es-UY" w:eastAsia="es-UY"/>
            <w14:ligatures w14:val="none"/>
          </w:rPr>
          <w:t>[9]</w:t>
        </w:r>
      </w:hyperlink>
    </w:p>
    <w:p w14:paraId="6ECBF68C" w14:textId="77777777" w:rsidR="00FB6005" w:rsidRPr="00FB6005" w:rsidRDefault="00FB6005" w:rsidP="00FB6005">
      <w:pPr>
        <w:shd w:val="clear" w:color="auto" w:fill="FFFFFF"/>
        <w:spacing w:before="300" w:line="300" w:lineRule="atLeast"/>
        <w:jc w:val="center"/>
        <w:rPr>
          <w:rFonts w:ascii="Montserrat" w:eastAsia="Times New Roman" w:hAnsi="Montserrat" w:cs="Open Sans"/>
          <w:b/>
          <w:bCs/>
          <w:i/>
          <w:iCs/>
          <w:color w:val="D49400"/>
          <w:kern w:val="0"/>
          <w:sz w:val="28"/>
          <w:szCs w:val="28"/>
          <w:lang w:val="es-UY" w:eastAsia="es-UY"/>
          <w14:ligatures w14:val="none"/>
        </w:rPr>
      </w:pPr>
      <w:r w:rsidRPr="00FB6005">
        <w:rPr>
          <w:rFonts w:ascii="Montserrat" w:eastAsia="Times New Roman" w:hAnsi="Montserrat" w:cs="Open Sans"/>
          <w:b/>
          <w:bCs/>
          <w:i/>
          <w:iCs/>
          <w:color w:val="D49400"/>
          <w:kern w:val="0"/>
          <w:sz w:val="28"/>
          <w:szCs w:val="28"/>
          <w:lang w:val="es-UY" w:eastAsia="es-UY"/>
          <w14:ligatures w14:val="none"/>
        </w:rPr>
        <w:t>"¿Debe ser esto así: Mandamientos para todos y, para algunos, discernimiento?”</w:t>
      </w:r>
    </w:p>
    <w:p w14:paraId="21BE4FB3"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Si ya San Juan Pablo II había expresado “¿Cómo no sentir dolor por la falta de discernimiento…?”,</w:t>
      </w:r>
      <w:hyperlink r:id="rId18" w:anchor="_ftn10" w:history="1">
        <w:r w:rsidRPr="00FB6005">
          <w:rPr>
            <w:rFonts w:ascii="Open Sans" w:eastAsia="Times New Roman" w:hAnsi="Open Sans" w:cs="Open Sans"/>
            <w:color w:val="D49400"/>
            <w:kern w:val="0"/>
            <w:sz w:val="24"/>
            <w:szCs w:val="24"/>
            <w:lang w:val="es-UY" w:eastAsia="es-UY"/>
            <w14:ligatures w14:val="none"/>
          </w:rPr>
          <w:t>[10]</w:t>
        </w:r>
      </w:hyperlink>
      <w:r w:rsidRPr="00FB6005">
        <w:rPr>
          <w:rFonts w:ascii="Open Sans" w:eastAsia="Times New Roman" w:hAnsi="Open Sans" w:cs="Open Sans"/>
          <w:b/>
          <w:bCs/>
          <w:color w:val="474747"/>
          <w:kern w:val="0"/>
          <w:sz w:val="24"/>
          <w:szCs w:val="24"/>
          <w:lang w:val="es-UY" w:eastAsia="es-UY"/>
          <w14:ligatures w14:val="none"/>
        </w:rPr>
        <w:t>esto ha sido tomado muy en cuenta por Francisco, que lo ha convertido en uno de los pilares de su Pontificado</w:t>
      </w:r>
      <w:r w:rsidRPr="00FB6005">
        <w:rPr>
          <w:rFonts w:ascii="Open Sans" w:eastAsia="Times New Roman" w:hAnsi="Open Sans" w:cs="Open Sans"/>
          <w:color w:val="333333"/>
          <w:kern w:val="0"/>
          <w:sz w:val="24"/>
          <w:szCs w:val="24"/>
          <w:lang w:val="es-UY" w:eastAsia="es-UY"/>
          <w14:ligatures w14:val="none"/>
        </w:rPr>
        <w:t>. Al respecto, se ha dicho que “[e]n el presente contexto eclesial, el Papa Francisco viene resaltando una y otra vez la importancia del discernimiento”, ejerciendo al respecto “a tiempo y a destiempo”, una “lúcida insistencia”.</w:t>
      </w:r>
      <w:hyperlink r:id="rId19" w:anchor="_ftn11" w:history="1">
        <w:r w:rsidRPr="00FB6005">
          <w:rPr>
            <w:rFonts w:ascii="Open Sans" w:eastAsia="Times New Roman" w:hAnsi="Open Sans" w:cs="Open Sans"/>
            <w:color w:val="D49400"/>
            <w:kern w:val="0"/>
            <w:sz w:val="24"/>
            <w:szCs w:val="24"/>
            <w:lang w:val="es-UY" w:eastAsia="es-UY"/>
            <w14:ligatures w14:val="none"/>
          </w:rPr>
          <w:t>[11]</w:t>
        </w:r>
      </w:hyperlink>
    </w:p>
    <w:p w14:paraId="1D043CC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Cuando el Papa afirma, por tomar dos ejemplos, que </w:t>
      </w:r>
      <w:r w:rsidRPr="00FB6005">
        <w:rPr>
          <w:rFonts w:ascii="Open Sans" w:eastAsia="Times New Roman" w:hAnsi="Open Sans" w:cs="Open Sans"/>
          <w:b/>
          <w:bCs/>
          <w:color w:val="474747"/>
          <w:kern w:val="0"/>
          <w:sz w:val="24"/>
          <w:szCs w:val="24"/>
          <w:lang w:val="es-UY" w:eastAsia="es-UY"/>
          <w14:ligatures w14:val="none"/>
        </w:rPr>
        <w:t>“Es preciso entender realmente esto: en la vida no todo es negro sobre blanco o blanco sobre negro. ¡No! En la vida prevalecen las sombras del gris. Ahora es el tiempo de enseñar a discernir en este gris”</w:t>
      </w:r>
      <w:r w:rsidRPr="00FB6005">
        <w:rPr>
          <w:rFonts w:ascii="Open Sans" w:eastAsia="Times New Roman" w:hAnsi="Open Sans" w:cs="Open Sans"/>
          <w:color w:val="333333"/>
          <w:kern w:val="0"/>
          <w:sz w:val="24"/>
          <w:szCs w:val="24"/>
          <w:lang w:val="es-UY" w:eastAsia="es-UY"/>
          <w14:ligatures w14:val="none"/>
        </w:rPr>
        <w:t> y que, además, “Es verdad que el discernimiento espiritual no excluye los aportes de sabidurías humanas, existenciales, psicológicas, sociológicas o morales. Pero las trasciende. Ni siquiera le bastan las sabias normas de la Iglesia. Recordemos siempre que el discernimiento es una gracia. Aunque incluya la razón y la prudencia, las supera, porque se trata de entrever el misterio del proyecto único e irrepetible que Dios tiene para cada uno y que se realiza en medio de los más variados contextos y límites” (…),</w:t>
      </w:r>
      <w:hyperlink r:id="rId20" w:anchor="_ftn12" w:history="1">
        <w:r w:rsidRPr="00FB6005">
          <w:rPr>
            <w:rFonts w:ascii="Open Sans" w:eastAsia="Times New Roman" w:hAnsi="Open Sans" w:cs="Open Sans"/>
            <w:color w:val="D49400"/>
            <w:kern w:val="0"/>
            <w:sz w:val="24"/>
            <w:szCs w:val="24"/>
            <w:lang w:val="es-UY" w:eastAsia="es-UY"/>
            <w14:ligatures w14:val="none"/>
          </w:rPr>
          <w:t>[12]</w:t>
        </w:r>
      </w:hyperlink>
      <w:r w:rsidRPr="00FB6005">
        <w:rPr>
          <w:rFonts w:ascii="Open Sans" w:eastAsia="Times New Roman" w:hAnsi="Open Sans" w:cs="Open Sans"/>
          <w:color w:val="333333"/>
          <w:kern w:val="0"/>
          <w:sz w:val="24"/>
          <w:szCs w:val="24"/>
          <w:lang w:val="es-UY" w:eastAsia="es-UY"/>
          <w14:ligatures w14:val="none"/>
        </w:rPr>
        <w:t> no se refiere a una minoría, a una elite espiritual, sino a “algo que es válido para todo seguidor de Jesús”.</w:t>
      </w:r>
      <w:hyperlink r:id="rId21" w:anchor="_ftn13" w:history="1">
        <w:r w:rsidRPr="00FB6005">
          <w:rPr>
            <w:rFonts w:ascii="Open Sans" w:eastAsia="Times New Roman" w:hAnsi="Open Sans" w:cs="Open Sans"/>
            <w:color w:val="D49400"/>
            <w:kern w:val="0"/>
            <w:sz w:val="24"/>
            <w:szCs w:val="24"/>
            <w:lang w:val="es-UY" w:eastAsia="es-UY"/>
            <w14:ligatures w14:val="none"/>
          </w:rPr>
          <w:t>[13]</w:t>
        </w:r>
      </w:hyperlink>
      <w:r w:rsidRPr="00FB6005">
        <w:rPr>
          <w:rFonts w:ascii="Open Sans" w:eastAsia="Times New Roman" w:hAnsi="Open Sans" w:cs="Open Sans"/>
          <w:color w:val="333333"/>
          <w:kern w:val="0"/>
          <w:sz w:val="24"/>
          <w:szCs w:val="24"/>
          <w:lang w:val="es-UY" w:eastAsia="es-UY"/>
          <w14:ligatures w14:val="none"/>
        </w:rPr>
        <w:t> Por eso el Papa dice que el discernimiento “No requiere de capacidades especiales ni está reservado a los más inteligentes o instruidos, y el Padre se manifiesta con gusto a los humildes (cf. Mt 11,25)”.</w:t>
      </w:r>
      <w:hyperlink r:id="rId22" w:anchor="_ftn14" w:history="1">
        <w:r w:rsidRPr="00FB6005">
          <w:rPr>
            <w:rFonts w:ascii="Open Sans" w:eastAsia="Times New Roman" w:hAnsi="Open Sans" w:cs="Open Sans"/>
            <w:color w:val="D49400"/>
            <w:kern w:val="0"/>
            <w:sz w:val="24"/>
            <w:szCs w:val="24"/>
            <w:lang w:val="es-UY" w:eastAsia="es-UY"/>
            <w14:ligatures w14:val="none"/>
          </w:rPr>
          <w:t>[14]</w:t>
        </w:r>
      </w:hyperlink>
    </w:p>
    <w:p w14:paraId="469D55D8" w14:textId="77777777" w:rsidR="00FB6005" w:rsidRPr="00FB6005" w:rsidRDefault="00FB6005" w:rsidP="00FB6005">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FB6005">
        <w:rPr>
          <w:rFonts w:ascii="Montserrat" w:eastAsia="Times New Roman" w:hAnsi="Montserrat" w:cs="Open Sans"/>
          <w:b/>
          <w:bCs/>
          <w:color w:val="474747"/>
          <w:kern w:val="0"/>
          <w:sz w:val="26"/>
          <w:szCs w:val="26"/>
          <w:lang w:val="es-UY" w:eastAsia="es-UY"/>
          <w14:ligatures w14:val="none"/>
        </w:rPr>
        <w:t>Discernimiento y opción por el Reino de Dios</w:t>
      </w:r>
    </w:p>
    <w:p w14:paraId="1CF3235A"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 xml:space="preserve">Así como no se comprendería cabalmente el discernimiento en el plano comunitario y social sin su ejercicio en el plano personal, no corresponde confinarlo solamente al nivel individual. En efecto, como explicara Juan Bautista </w:t>
      </w:r>
      <w:proofErr w:type="spellStart"/>
      <w:r w:rsidRPr="00FB6005">
        <w:rPr>
          <w:rFonts w:ascii="Open Sans" w:eastAsia="Times New Roman" w:hAnsi="Open Sans" w:cs="Open Sans"/>
          <w:color w:val="333333"/>
          <w:kern w:val="0"/>
          <w:sz w:val="24"/>
          <w:szCs w:val="24"/>
          <w:lang w:val="es-UY" w:eastAsia="es-UY"/>
          <w14:ligatures w14:val="none"/>
        </w:rPr>
        <w:t>Libânio</w:t>
      </w:r>
      <w:proofErr w:type="spellEnd"/>
      <w:r w:rsidRPr="00FB6005">
        <w:rPr>
          <w:rFonts w:ascii="Open Sans" w:eastAsia="Times New Roman" w:hAnsi="Open Sans" w:cs="Open Sans"/>
          <w:color w:val="333333"/>
          <w:kern w:val="0"/>
          <w:sz w:val="24"/>
          <w:szCs w:val="24"/>
          <w:lang w:val="es-UY" w:eastAsia="es-UY"/>
          <w14:ligatures w14:val="none"/>
        </w:rPr>
        <w:t>, SJ, “Israel crea con su concepción de Dios el verdadero espacio existencial del discernimiento (…)</w:t>
      </w:r>
      <w:r w:rsidRPr="00FB6005">
        <w:rPr>
          <w:rFonts w:ascii="Open Sans" w:eastAsia="Times New Roman" w:hAnsi="Open Sans" w:cs="Open Sans"/>
          <w:b/>
          <w:bCs/>
          <w:color w:val="474747"/>
          <w:kern w:val="0"/>
          <w:sz w:val="24"/>
          <w:szCs w:val="24"/>
          <w:lang w:val="es-UY" w:eastAsia="es-UY"/>
          <w14:ligatures w14:val="none"/>
        </w:rPr>
        <w:t> Con el cristianismo, la cuestión del discernimiento se impone como algo aún más importante o fundamental. En Jesucristo, Dios se hace historia, asume la humanidad en una unidad de persona</w:t>
      </w:r>
      <w:r w:rsidRPr="00FB6005">
        <w:rPr>
          <w:rFonts w:ascii="Open Sans" w:eastAsia="Times New Roman" w:hAnsi="Open Sans" w:cs="Open Sans"/>
          <w:color w:val="333333"/>
          <w:kern w:val="0"/>
          <w:sz w:val="24"/>
          <w:szCs w:val="24"/>
          <w:lang w:val="es-UY" w:eastAsia="es-UY"/>
          <w14:ligatures w14:val="none"/>
        </w:rPr>
        <w:t xml:space="preserve">. Eso significa que, de ahora en adelante, ninguna realidad humana, creada e histórica, podrá ser entendida sin referencia a Dios y que Dios no podrá ser entendido sin referencia a la historia humana. Es decir, habrá que discernir siempre esa presencia y acción de Dios en las realidades humanas e históricas. Así aparece con toda claridad el significado teologal de las mediaciones humanas, históricas, </w:t>
      </w:r>
      <w:proofErr w:type="gramStart"/>
      <w:r w:rsidRPr="00FB6005">
        <w:rPr>
          <w:rFonts w:ascii="Open Sans" w:eastAsia="Times New Roman" w:hAnsi="Open Sans" w:cs="Open Sans"/>
          <w:color w:val="333333"/>
          <w:kern w:val="0"/>
          <w:sz w:val="24"/>
          <w:szCs w:val="24"/>
          <w:lang w:val="es-UY" w:eastAsia="es-UY"/>
          <w14:ligatures w14:val="none"/>
        </w:rPr>
        <w:t>socio-políticas</w:t>
      </w:r>
      <w:proofErr w:type="gramEnd"/>
      <w:r w:rsidRPr="00FB6005">
        <w:rPr>
          <w:rFonts w:ascii="Open Sans" w:eastAsia="Times New Roman" w:hAnsi="Open Sans" w:cs="Open Sans"/>
          <w:color w:val="333333"/>
          <w:kern w:val="0"/>
          <w:sz w:val="24"/>
          <w:szCs w:val="24"/>
          <w:lang w:val="es-UY" w:eastAsia="es-UY"/>
          <w14:ligatures w14:val="none"/>
        </w:rPr>
        <w:t>”.</w:t>
      </w:r>
      <w:hyperlink r:id="rId23" w:anchor="_ftn15" w:history="1">
        <w:r w:rsidRPr="00FB6005">
          <w:rPr>
            <w:rFonts w:ascii="Open Sans" w:eastAsia="Times New Roman" w:hAnsi="Open Sans" w:cs="Open Sans"/>
            <w:color w:val="D49400"/>
            <w:kern w:val="0"/>
            <w:sz w:val="24"/>
            <w:szCs w:val="24"/>
            <w:lang w:val="es-UY" w:eastAsia="es-UY"/>
            <w14:ligatures w14:val="none"/>
          </w:rPr>
          <w:t>[15]</w:t>
        </w:r>
      </w:hyperlink>
    </w:p>
    <w:p w14:paraId="369FEC0B" w14:textId="77777777" w:rsidR="00FB6005" w:rsidRPr="00FB6005" w:rsidRDefault="00FB6005" w:rsidP="00FB6005">
      <w:pPr>
        <w:shd w:val="clear" w:color="auto" w:fill="FFFFFF"/>
        <w:spacing w:after="0"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noProof/>
          <w:color w:val="474747"/>
          <w:kern w:val="0"/>
          <w:sz w:val="21"/>
          <w:szCs w:val="21"/>
          <w:lang w:val="es-UY" w:eastAsia="es-UY"/>
          <w14:ligatures w14:val="none"/>
        </w:rPr>
        <w:drawing>
          <wp:inline distT="0" distB="0" distL="0" distR="0" wp14:anchorId="5CEB49CE" wp14:editId="7651E4B4">
            <wp:extent cx="5238750" cy="2941236"/>
            <wp:effectExtent l="0" t="0" r="0" b="0"/>
            <wp:docPr id="4" name="Imagen 4" descr="Raniero Cantalam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iero Cantalames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7476" cy="2946135"/>
                    </a:xfrm>
                    <a:prstGeom prst="rect">
                      <a:avLst/>
                    </a:prstGeom>
                    <a:noFill/>
                    <a:ln>
                      <a:noFill/>
                    </a:ln>
                  </pic:spPr>
                </pic:pic>
              </a:graphicData>
            </a:graphic>
          </wp:inline>
        </w:drawing>
      </w:r>
    </w:p>
    <w:p w14:paraId="302F2C40" w14:textId="77777777" w:rsidR="00FB6005" w:rsidRPr="00FB6005" w:rsidRDefault="00FB6005" w:rsidP="00FB6005">
      <w:pPr>
        <w:shd w:val="clear" w:color="auto" w:fill="FFFFFF"/>
        <w:spacing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color w:val="474747"/>
          <w:kern w:val="0"/>
          <w:sz w:val="21"/>
          <w:szCs w:val="21"/>
          <w:lang w:val="es-UY" w:eastAsia="es-UY"/>
          <w14:ligatures w14:val="none"/>
        </w:rPr>
        <w:t xml:space="preserve">Raniero </w:t>
      </w:r>
      <w:proofErr w:type="spellStart"/>
      <w:r w:rsidRPr="00FB6005">
        <w:rPr>
          <w:rFonts w:ascii="Open Sans" w:eastAsia="Times New Roman" w:hAnsi="Open Sans" w:cs="Open Sans"/>
          <w:color w:val="474747"/>
          <w:kern w:val="0"/>
          <w:sz w:val="21"/>
          <w:szCs w:val="21"/>
          <w:lang w:val="es-UY" w:eastAsia="es-UY"/>
          <w14:ligatures w14:val="none"/>
        </w:rPr>
        <w:t>Cantalamessa</w:t>
      </w:r>
      <w:proofErr w:type="spellEnd"/>
    </w:p>
    <w:p w14:paraId="1CC16D51"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En este sentido, cabe recordar que, en la perspectiva cristiana, la historia resulta ambigua, por la mezcla entre gracia y pecado, y por eso debe ser discernida. En este horizonte de comprensión, vale la pena reparar en la distinción realizada por San Agustín de las </w:t>
      </w:r>
      <w:r w:rsidRPr="00FB6005">
        <w:rPr>
          <w:rFonts w:ascii="Open Sans" w:eastAsia="Times New Roman" w:hAnsi="Open Sans" w:cs="Open Sans"/>
          <w:i/>
          <w:iCs/>
          <w:color w:val="474747"/>
          <w:kern w:val="0"/>
          <w:sz w:val="24"/>
          <w:szCs w:val="24"/>
          <w:lang w:val="es-UY" w:eastAsia="es-UY"/>
          <w14:ligatures w14:val="none"/>
        </w:rPr>
        <w:t>Dos Ciudades </w:t>
      </w:r>
      <w:r w:rsidRPr="00FB6005">
        <w:rPr>
          <w:rFonts w:ascii="Open Sans" w:eastAsia="Times New Roman" w:hAnsi="Open Sans" w:cs="Open Sans"/>
          <w:color w:val="333333"/>
          <w:kern w:val="0"/>
          <w:sz w:val="24"/>
          <w:szCs w:val="24"/>
          <w:lang w:val="es-UY" w:eastAsia="es-UY"/>
          <w14:ligatures w14:val="none"/>
        </w:rPr>
        <w:t>(la de Dios y la de Satanás). </w:t>
      </w:r>
      <w:r w:rsidRPr="00FB6005">
        <w:rPr>
          <w:rFonts w:ascii="Open Sans" w:eastAsia="Times New Roman" w:hAnsi="Open Sans" w:cs="Open Sans"/>
          <w:b/>
          <w:bCs/>
          <w:color w:val="474747"/>
          <w:kern w:val="0"/>
          <w:sz w:val="24"/>
          <w:szCs w:val="24"/>
          <w:lang w:val="es-UY" w:eastAsia="es-UY"/>
          <w14:ligatures w14:val="none"/>
        </w:rPr>
        <w:t xml:space="preserve">Como explicara recientemente el franciscano Raniero </w:t>
      </w:r>
      <w:proofErr w:type="spellStart"/>
      <w:r w:rsidRPr="00FB6005">
        <w:rPr>
          <w:rFonts w:ascii="Open Sans" w:eastAsia="Times New Roman" w:hAnsi="Open Sans" w:cs="Open Sans"/>
          <w:b/>
          <w:bCs/>
          <w:color w:val="474747"/>
          <w:kern w:val="0"/>
          <w:sz w:val="24"/>
          <w:szCs w:val="24"/>
          <w:lang w:val="es-UY" w:eastAsia="es-UY"/>
          <w14:ligatures w14:val="none"/>
        </w:rPr>
        <w:t>Cantalamessa</w:t>
      </w:r>
      <w:proofErr w:type="spellEnd"/>
      <w:r w:rsidRPr="00FB6005">
        <w:rPr>
          <w:rFonts w:ascii="Open Sans" w:eastAsia="Times New Roman" w:hAnsi="Open Sans" w:cs="Open Sans"/>
          <w:b/>
          <w:bCs/>
          <w:color w:val="474747"/>
          <w:kern w:val="0"/>
          <w:sz w:val="24"/>
          <w:szCs w:val="24"/>
          <w:lang w:val="es-UY" w:eastAsia="es-UY"/>
          <w14:ligatures w14:val="none"/>
        </w:rPr>
        <w:t>, “[l]a oposición, en este caso, es entre el amor de Dios y el amor de uno mismo</w:t>
      </w:r>
      <w:r w:rsidRPr="00FB6005">
        <w:rPr>
          <w:rFonts w:ascii="Open Sans" w:eastAsia="Times New Roman" w:hAnsi="Open Sans" w:cs="Open Sans"/>
          <w:color w:val="333333"/>
          <w:kern w:val="0"/>
          <w:sz w:val="24"/>
          <w:szCs w:val="24"/>
          <w:lang w:val="es-UY" w:eastAsia="es-UY"/>
          <w14:ligatures w14:val="none"/>
        </w:rPr>
        <w:t>. En otra obra [</w:t>
      </w:r>
      <w:r w:rsidRPr="00FB6005">
        <w:rPr>
          <w:rFonts w:ascii="Open Sans" w:eastAsia="Times New Roman" w:hAnsi="Open Sans" w:cs="Open Sans"/>
          <w:i/>
          <w:iCs/>
          <w:color w:val="474747"/>
          <w:kern w:val="0"/>
          <w:sz w:val="24"/>
          <w:szCs w:val="24"/>
          <w:lang w:val="es-UY" w:eastAsia="es-UY"/>
          <w14:ligatures w14:val="none"/>
        </w:rPr>
        <w:t xml:space="preserve">De </w:t>
      </w:r>
      <w:proofErr w:type="spellStart"/>
      <w:r w:rsidRPr="00FB6005">
        <w:rPr>
          <w:rFonts w:ascii="Open Sans" w:eastAsia="Times New Roman" w:hAnsi="Open Sans" w:cs="Open Sans"/>
          <w:i/>
          <w:iCs/>
          <w:color w:val="474747"/>
          <w:kern w:val="0"/>
          <w:sz w:val="24"/>
          <w:szCs w:val="24"/>
          <w:lang w:val="es-UY" w:eastAsia="es-UY"/>
          <w14:ligatures w14:val="none"/>
        </w:rPr>
        <w:t>Genesi</w:t>
      </w:r>
      <w:proofErr w:type="spellEnd"/>
      <w:r w:rsidRPr="00FB6005">
        <w:rPr>
          <w:rFonts w:ascii="Open Sans" w:eastAsia="Times New Roman" w:hAnsi="Open Sans" w:cs="Open Sans"/>
          <w:i/>
          <w:iCs/>
          <w:color w:val="474747"/>
          <w:kern w:val="0"/>
          <w:sz w:val="24"/>
          <w:szCs w:val="24"/>
          <w:lang w:val="es-UY" w:eastAsia="es-UY"/>
          <w14:ligatures w14:val="none"/>
        </w:rPr>
        <w:t xml:space="preserve"> ad litteram</w:t>
      </w:r>
      <w:r w:rsidRPr="00FB6005">
        <w:rPr>
          <w:rFonts w:ascii="Open Sans" w:eastAsia="Times New Roman" w:hAnsi="Open Sans" w:cs="Open Sans"/>
          <w:color w:val="333333"/>
          <w:kern w:val="0"/>
          <w:sz w:val="24"/>
          <w:szCs w:val="24"/>
          <w:lang w:val="es-UY" w:eastAsia="es-UY"/>
          <w14:ligatures w14:val="none"/>
        </w:rPr>
        <w:t xml:space="preserve">], sin embargo, San Agustín corrige parcialmente este contraste, o al menos lo equilibra. El verdadero contraste que caracteriza a las dos </w:t>
      </w:r>
      <w:proofErr w:type="gramStart"/>
      <w:r w:rsidRPr="00FB6005">
        <w:rPr>
          <w:rFonts w:ascii="Open Sans" w:eastAsia="Times New Roman" w:hAnsi="Open Sans" w:cs="Open Sans"/>
          <w:color w:val="333333"/>
          <w:kern w:val="0"/>
          <w:sz w:val="24"/>
          <w:szCs w:val="24"/>
          <w:lang w:val="es-UY" w:eastAsia="es-UY"/>
          <w14:ligatures w14:val="none"/>
        </w:rPr>
        <w:t>ciudades,</w:t>
      </w:r>
      <w:proofErr w:type="gramEnd"/>
      <w:r w:rsidRPr="00FB6005">
        <w:rPr>
          <w:rFonts w:ascii="Open Sans" w:eastAsia="Times New Roman" w:hAnsi="Open Sans" w:cs="Open Sans"/>
          <w:color w:val="333333"/>
          <w:kern w:val="0"/>
          <w:sz w:val="24"/>
          <w:szCs w:val="24"/>
          <w:lang w:val="es-UY" w:eastAsia="es-UY"/>
          <w14:ligatures w14:val="none"/>
        </w:rPr>
        <w:t xml:space="preserve"> dice, no es entre el amor de Dios y el amor a uno mismo. Estos dos amores, correctamente entendidos, pueden -de hecho, deben- existir juntos. No, el verdadero contraste es interno al amor propio, y es la contradicción entre el amor exclusivo a uno mismo –</w:t>
      </w:r>
      <w:r w:rsidRPr="00FB6005">
        <w:rPr>
          <w:rFonts w:ascii="Open Sans" w:eastAsia="Times New Roman" w:hAnsi="Open Sans" w:cs="Open Sans"/>
          <w:i/>
          <w:iCs/>
          <w:color w:val="474747"/>
          <w:kern w:val="0"/>
          <w:sz w:val="24"/>
          <w:szCs w:val="24"/>
          <w:lang w:val="es-UY" w:eastAsia="es-UY"/>
          <w14:ligatures w14:val="none"/>
        </w:rPr>
        <w:t xml:space="preserve">amor </w:t>
      </w:r>
      <w:proofErr w:type="spellStart"/>
      <w:r w:rsidRPr="00FB6005">
        <w:rPr>
          <w:rFonts w:ascii="Open Sans" w:eastAsia="Times New Roman" w:hAnsi="Open Sans" w:cs="Open Sans"/>
          <w:i/>
          <w:iCs/>
          <w:color w:val="474747"/>
          <w:kern w:val="0"/>
          <w:sz w:val="24"/>
          <w:szCs w:val="24"/>
          <w:lang w:val="es-UY" w:eastAsia="es-UY"/>
          <w14:ligatures w14:val="none"/>
        </w:rPr>
        <w:t>privatus</w:t>
      </w:r>
      <w:proofErr w:type="spellEnd"/>
      <w:r w:rsidRPr="00FB6005">
        <w:rPr>
          <w:rFonts w:ascii="Open Sans" w:eastAsia="Times New Roman" w:hAnsi="Open Sans" w:cs="Open Sans"/>
          <w:color w:val="333333"/>
          <w:kern w:val="0"/>
          <w:sz w:val="24"/>
          <w:szCs w:val="24"/>
          <w:lang w:val="es-UY" w:eastAsia="es-UY"/>
          <w14:ligatures w14:val="none"/>
        </w:rPr>
        <w:t>, como él lo llama- y el amor al bien común –</w:t>
      </w:r>
      <w:r w:rsidRPr="00FB6005">
        <w:rPr>
          <w:rFonts w:ascii="Open Sans" w:eastAsia="Times New Roman" w:hAnsi="Open Sans" w:cs="Open Sans"/>
          <w:i/>
          <w:iCs/>
          <w:color w:val="474747"/>
          <w:kern w:val="0"/>
          <w:sz w:val="24"/>
          <w:szCs w:val="24"/>
          <w:lang w:val="es-UY" w:eastAsia="es-UY"/>
          <w14:ligatures w14:val="none"/>
        </w:rPr>
        <w:t>amor sociales-</w:t>
      </w:r>
      <w:r w:rsidRPr="00FB6005">
        <w:rPr>
          <w:rFonts w:ascii="Open Sans" w:eastAsia="Times New Roman" w:hAnsi="Open Sans" w:cs="Open Sans"/>
          <w:color w:val="333333"/>
          <w:kern w:val="0"/>
          <w:sz w:val="24"/>
          <w:szCs w:val="24"/>
          <w:lang w:val="es-UY" w:eastAsia="es-UY"/>
          <w14:ligatures w14:val="none"/>
        </w:rPr>
        <w:t>. Es el amor privado -es decir, el egoísmo- el que crea la ciudad de Satanás, Babilonia, y es el amor social el que crea la ciudad de Dios, donde reina la armonía y la paz.”</w:t>
      </w:r>
      <w:hyperlink r:id="rId25" w:anchor="_ftn16" w:history="1">
        <w:r w:rsidRPr="00FB6005">
          <w:rPr>
            <w:rFonts w:ascii="Open Sans" w:eastAsia="Times New Roman" w:hAnsi="Open Sans" w:cs="Open Sans"/>
            <w:color w:val="D49400"/>
            <w:kern w:val="0"/>
            <w:sz w:val="24"/>
            <w:szCs w:val="24"/>
            <w:lang w:val="es-UY" w:eastAsia="es-UY"/>
            <w14:ligatures w14:val="none"/>
          </w:rPr>
          <w:t>[16]</w:t>
        </w:r>
      </w:hyperlink>
    </w:p>
    <w:p w14:paraId="438B7CA4"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Casi un milenio después, San Ignacio pudo discernir </w:t>
      </w:r>
      <w:r w:rsidRPr="00FB6005">
        <w:rPr>
          <w:rFonts w:ascii="Open Sans" w:eastAsia="Times New Roman" w:hAnsi="Open Sans" w:cs="Open Sans"/>
          <w:i/>
          <w:iCs/>
          <w:color w:val="474747"/>
          <w:kern w:val="0"/>
          <w:sz w:val="24"/>
          <w:szCs w:val="24"/>
          <w:lang w:val="es-UY" w:eastAsia="es-UY"/>
          <w14:ligatures w14:val="none"/>
        </w:rPr>
        <w:t>Dos Banderas</w:t>
      </w:r>
      <w:r w:rsidRPr="00FB6005">
        <w:rPr>
          <w:rFonts w:ascii="Open Sans" w:eastAsia="Times New Roman" w:hAnsi="Open Sans" w:cs="Open Sans"/>
          <w:color w:val="333333"/>
          <w:kern w:val="0"/>
          <w:sz w:val="24"/>
          <w:szCs w:val="24"/>
          <w:lang w:val="es-UY" w:eastAsia="es-UY"/>
          <w14:ligatures w14:val="none"/>
        </w:rPr>
        <w:t> (la de Cristo y la de Lucifer, el Ser y el No-Ser, respectivamente); Santa Teresa de Jesús pudo advertir dentro de ella “dos Teresa” (una buena y una mala). Consciente de que esa lucha “se da en mí, se da en los pueblos, se dio a lo largo de toda la historia”,</w:t>
      </w:r>
      <w:hyperlink r:id="rId26" w:anchor="_ftn17" w:history="1">
        <w:r w:rsidRPr="00FB6005">
          <w:rPr>
            <w:rFonts w:ascii="Open Sans" w:eastAsia="Times New Roman" w:hAnsi="Open Sans" w:cs="Open Sans"/>
            <w:color w:val="D49400"/>
            <w:kern w:val="0"/>
            <w:sz w:val="24"/>
            <w:szCs w:val="24"/>
            <w:lang w:val="es-UY" w:eastAsia="es-UY"/>
            <w14:ligatures w14:val="none"/>
          </w:rPr>
          <w:t>[17]</w:t>
        </w:r>
      </w:hyperlink>
      <w:r w:rsidRPr="00FB6005">
        <w:rPr>
          <w:rFonts w:ascii="Open Sans" w:eastAsia="Times New Roman" w:hAnsi="Open Sans" w:cs="Open Sans"/>
          <w:color w:val="333333"/>
          <w:kern w:val="0"/>
          <w:sz w:val="24"/>
          <w:szCs w:val="24"/>
          <w:lang w:val="es-UY" w:eastAsia="es-UY"/>
          <w14:ligatures w14:val="none"/>
        </w:rPr>
        <w:t> en nuestro tiempo, en su primera encíclica social, </w:t>
      </w:r>
      <w:proofErr w:type="spellStart"/>
      <w:r w:rsidRPr="00FB6005">
        <w:rPr>
          <w:rFonts w:ascii="Open Sans" w:eastAsia="Times New Roman" w:hAnsi="Open Sans" w:cs="Open Sans"/>
          <w:i/>
          <w:iCs/>
          <w:color w:val="474747"/>
          <w:kern w:val="0"/>
          <w:sz w:val="24"/>
          <w:szCs w:val="24"/>
          <w:lang w:val="es-UY" w:eastAsia="es-UY"/>
          <w14:ligatures w14:val="none"/>
        </w:rPr>
        <w:t>Laudato</w:t>
      </w:r>
      <w:proofErr w:type="spellEnd"/>
      <w:r w:rsidRPr="00FB6005">
        <w:rPr>
          <w:rFonts w:ascii="Open Sans" w:eastAsia="Times New Roman" w:hAnsi="Open Sans" w:cs="Open Sans"/>
          <w:i/>
          <w:iCs/>
          <w:color w:val="474747"/>
          <w:kern w:val="0"/>
          <w:sz w:val="24"/>
          <w:szCs w:val="24"/>
          <w:lang w:val="es-UY" w:eastAsia="es-UY"/>
          <w14:ligatures w14:val="none"/>
        </w:rPr>
        <w:t xml:space="preserve"> Si’</w:t>
      </w:r>
      <w:r w:rsidRPr="00FB6005">
        <w:rPr>
          <w:rFonts w:ascii="Open Sans" w:eastAsia="Times New Roman" w:hAnsi="Open Sans" w:cs="Open Sans"/>
          <w:color w:val="333333"/>
          <w:kern w:val="0"/>
          <w:sz w:val="24"/>
          <w:szCs w:val="24"/>
          <w:lang w:val="es-UY" w:eastAsia="es-UY"/>
          <w14:ligatures w14:val="none"/>
        </w:rPr>
        <w:t> (2015), en el contexto de una crisis civilizatoria que pone en serio peligro la Casa Común, </w:t>
      </w:r>
      <w:r w:rsidRPr="00FB6005">
        <w:rPr>
          <w:rFonts w:ascii="Open Sans" w:eastAsia="Times New Roman" w:hAnsi="Open Sans" w:cs="Open Sans"/>
          <w:b/>
          <w:bCs/>
          <w:color w:val="474747"/>
          <w:kern w:val="0"/>
          <w:sz w:val="24"/>
          <w:szCs w:val="24"/>
          <w:lang w:val="es-UY" w:eastAsia="es-UY"/>
          <w14:ligatures w14:val="none"/>
        </w:rPr>
        <w:t>Francisco discierne dos culturas en pugna: la </w:t>
      </w:r>
      <w:r w:rsidRPr="00FB6005">
        <w:rPr>
          <w:rFonts w:ascii="Open Sans" w:eastAsia="Times New Roman" w:hAnsi="Open Sans" w:cs="Open Sans"/>
          <w:i/>
          <w:iCs/>
          <w:color w:val="474747"/>
          <w:kern w:val="0"/>
          <w:sz w:val="24"/>
          <w:szCs w:val="24"/>
          <w:lang w:val="es-UY" w:eastAsia="es-UY"/>
          <w14:ligatures w14:val="none"/>
        </w:rPr>
        <w:t>cultura del descarte</w:t>
      </w:r>
      <w:r w:rsidRPr="00FB6005">
        <w:rPr>
          <w:rFonts w:ascii="Open Sans" w:eastAsia="Times New Roman" w:hAnsi="Open Sans" w:cs="Open Sans"/>
          <w:b/>
          <w:bCs/>
          <w:color w:val="474747"/>
          <w:kern w:val="0"/>
          <w:sz w:val="24"/>
          <w:szCs w:val="24"/>
          <w:lang w:val="es-UY" w:eastAsia="es-UY"/>
          <w14:ligatures w14:val="none"/>
        </w:rPr>
        <w:t> y la </w:t>
      </w:r>
      <w:r w:rsidRPr="00FB6005">
        <w:rPr>
          <w:rFonts w:ascii="Open Sans" w:eastAsia="Times New Roman" w:hAnsi="Open Sans" w:cs="Open Sans"/>
          <w:i/>
          <w:iCs/>
          <w:color w:val="474747"/>
          <w:kern w:val="0"/>
          <w:sz w:val="24"/>
          <w:szCs w:val="24"/>
          <w:lang w:val="es-UY" w:eastAsia="es-UY"/>
          <w14:ligatures w14:val="none"/>
        </w:rPr>
        <w:t>cultura del cuidado</w:t>
      </w:r>
      <w:r w:rsidRPr="00FB6005">
        <w:rPr>
          <w:rFonts w:ascii="Open Sans" w:eastAsia="Times New Roman" w:hAnsi="Open Sans" w:cs="Open Sans"/>
          <w:b/>
          <w:bCs/>
          <w:color w:val="474747"/>
          <w:kern w:val="0"/>
          <w:sz w:val="24"/>
          <w:szCs w:val="24"/>
          <w:lang w:val="es-UY" w:eastAsia="es-UY"/>
          <w14:ligatures w14:val="none"/>
        </w:rPr>
        <w:t>,</w:t>
      </w:r>
      <w:hyperlink r:id="rId27" w:anchor="_ftn18" w:history="1">
        <w:r w:rsidRPr="00FB6005">
          <w:rPr>
            <w:rFonts w:ascii="Open Sans" w:eastAsia="Times New Roman" w:hAnsi="Open Sans" w:cs="Open Sans"/>
            <w:color w:val="D49400"/>
            <w:kern w:val="0"/>
            <w:sz w:val="24"/>
            <w:szCs w:val="24"/>
            <w:lang w:val="es-UY" w:eastAsia="es-UY"/>
            <w14:ligatures w14:val="none"/>
          </w:rPr>
          <w:t>[18]</w:t>
        </w:r>
      </w:hyperlink>
      <w:r w:rsidRPr="00FB6005">
        <w:rPr>
          <w:rFonts w:ascii="Open Sans" w:eastAsia="Times New Roman" w:hAnsi="Open Sans" w:cs="Open Sans"/>
          <w:b/>
          <w:bCs/>
          <w:color w:val="474747"/>
          <w:kern w:val="0"/>
          <w:sz w:val="24"/>
          <w:szCs w:val="24"/>
          <w:lang w:val="es-UY" w:eastAsia="es-UY"/>
          <w14:ligatures w14:val="none"/>
        </w:rPr>
        <w:t> expresión de dos paradigmas contrapuestos, el “paradigma tecnocrático dominante” y el paradigma de la “ecología integral”, superador del anterior</w:t>
      </w:r>
      <w:r w:rsidRPr="00FB6005">
        <w:rPr>
          <w:rFonts w:ascii="Open Sans" w:eastAsia="Times New Roman" w:hAnsi="Open Sans" w:cs="Open Sans"/>
          <w:color w:val="333333"/>
          <w:kern w:val="0"/>
          <w:sz w:val="24"/>
          <w:szCs w:val="24"/>
          <w:lang w:val="es-UY" w:eastAsia="es-UY"/>
          <w14:ligatures w14:val="none"/>
        </w:rPr>
        <w:t xml:space="preserve">. Ambas culturas, ancladas en concepciones religiosas contrapuestas (idólatra una, </w:t>
      </w:r>
      <w:proofErr w:type="spellStart"/>
      <w:r w:rsidRPr="00FB6005">
        <w:rPr>
          <w:rFonts w:ascii="Open Sans" w:eastAsia="Times New Roman" w:hAnsi="Open Sans" w:cs="Open Sans"/>
          <w:color w:val="333333"/>
          <w:kern w:val="0"/>
          <w:sz w:val="24"/>
          <w:szCs w:val="24"/>
          <w:lang w:val="es-UY" w:eastAsia="es-UY"/>
          <w14:ligatures w14:val="none"/>
        </w:rPr>
        <w:t>Uni</w:t>
      </w:r>
      <w:proofErr w:type="spellEnd"/>
      <w:r w:rsidRPr="00FB6005">
        <w:rPr>
          <w:rFonts w:ascii="Open Sans" w:eastAsia="Times New Roman" w:hAnsi="Open Sans" w:cs="Open Sans"/>
          <w:color w:val="333333"/>
          <w:kern w:val="0"/>
          <w:sz w:val="24"/>
          <w:szCs w:val="24"/>
          <w:lang w:val="es-UY" w:eastAsia="es-UY"/>
          <w14:ligatures w14:val="none"/>
        </w:rPr>
        <w:t>-Trinitaria la otra), generan formas políticas diferentes: excluyente y autoritaria (la primera), verdaderamente democrática -representativa y participativa- (la segunda).</w:t>
      </w:r>
    </w:p>
    <w:p w14:paraId="59396C9A" w14:textId="77777777" w:rsidR="00FB6005" w:rsidRPr="00FB6005" w:rsidRDefault="00FB6005" w:rsidP="00FB6005">
      <w:pPr>
        <w:shd w:val="clear" w:color="auto" w:fill="FFFFFF"/>
        <w:spacing w:before="300" w:line="300" w:lineRule="atLeast"/>
        <w:jc w:val="center"/>
        <w:rPr>
          <w:rFonts w:ascii="Montserrat" w:eastAsia="Times New Roman" w:hAnsi="Montserrat" w:cs="Open Sans"/>
          <w:b/>
          <w:bCs/>
          <w:i/>
          <w:iCs/>
          <w:color w:val="D49400"/>
          <w:kern w:val="0"/>
          <w:sz w:val="28"/>
          <w:szCs w:val="28"/>
          <w:lang w:val="es-UY" w:eastAsia="es-UY"/>
          <w14:ligatures w14:val="none"/>
        </w:rPr>
      </w:pPr>
      <w:r w:rsidRPr="00FB6005">
        <w:rPr>
          <w:rFonts w:ascii="Montserrat" w:eastAsia="Times New Roman" w:hAnsi="Montserrat" w:cs="Open Sans"/>
          <w:b/>
          <w:bCs/>
          <w:i/>
          <w:iCs/>
          <w:color w:val="D49400"/>
          <w:kern w:val="0"/>
          <w:sz w:val="28"/>
          <w:szCs w:val="28"/>
          <w:lang w:val="es-UY" w:eastAsia="es-UY"/>
          <w14:ligatures w14:val="none"/>
        </w:rPr>
        <w:t>“No hablo de multitud en el sentido anónimo de masa. Tampoco me refiero al tipo de organización que piensa y habla en nombre de los pobres, sino al pueblo de Dios, capaz de unirse para rezar por el dolor de sus hijos”</w:t>
      </w:r>
    </w:p>
    <w:p w14:paraId="0B0845A9"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En esta línea se inserta la aplicación a la praxis sociopolítica que Francisco hace de la parábola del </w:t>
      </w:r>
      <w:r w:rsidRPr="00FB6005">
        <w:rPr>
          <w:rFonts w:ascii="Open Sans" w:eastAsia="Times New Roman" w:hAnsi="Open Sans" w:cs="Open Sans"/>
          <w:i/>
          <w:iCs/>
          <w:color w:val="474747"/>
          <w:kern w:val="0"/>
          <w:sz w:val="24"/>
          <w:szCs w:val="24"/>
          <w:lang w:val="es-UY" w:eastAsia="es-UY"/>
          <w14:ligatures w14:val="none"/>
        </w:rPr>
        <w:t>buen samaritano </w:t>
      </w:r>
      <w:r w:rsidRPr="00FB6005">
        <w:rPr>
          <w:rFonts w:ascii="Open Sans" w:eastAsia="Times New Roman" w:hAnsi="Open Sans" w:cs="Open Sans"/>
          <w:color w:val="333333"/>
          <w:kern w:val="0"/>
          <w:sz w:val="24"/>
          <w:szCs w:val="24"/>
          <w:lang w:val="es-UY" w:eastAsia="es-UY"/>
          <w14:ligatures w14:val="none"/>
        </w:rPr>
        <w:t>(</w:t>
      </w:r>
      <w:proofErr w:type="spellStart"/>
      <w:r w:rsidRPr="00FB6005">
        <w:rPr>
          <w:rFonts w:ascii="Open Sans" w:eastAsia="Times New Roman" w:hAnsi="Open Sans" w:cs="Open Sans"/>
          <w:color w:val="333333"/>
          <w:kern w:val="0"/>
          <w:sz w:val="24"/>
          <w:szCs w:val="24"/>
          <w:lang w:val="es-UY" w:eastAsia="es-UY"/>
          <w14:ligatures w14:val="none"/>
        </w:rPr>
        <w:t>Lc</w:t>
      </w:r>
      <w:proofErr w:type="spellEnd"/>
      <w:r w:rsidRPr="00FB6005">
        <w:rPr>
          <w:rFonts w:ascii="Open Sans" w:eastAsia="Times New Roman" w:hAnsi="Open Sans" w:cs="Open Sans"/>
          <w:color w:val="333333"/>
          <w:kern w:val="0"/>
          <w:sz w:val="24"/>
          <w:szCs w:val="24"/>
          <w:lang w:val="es-UY" w:eastAsia="es-UY"/>
          <w14:ligatures w14:val="none"/>
        </w:rPr>
        <w:t xml:space="preserve"> 10, 25-37),</w:t>
      </w:r>
      <w:hyperlink r:id="rId28" w:anchor="_ftn19" w:history="1">
        <w:r w:rsidRPr="00FB6005">
          <w:rPr>
            <w:rFonts w:ascii="Open Sans" w:eastAsia="Times New Roman" w:hAnsi="Open Sans" w:cs="Open Sans"/>
            <w:color w:val="D49400"/>
            <w:kern w:val="0"/>
            <w:sz w:val="24"/>
            <w:szCs w:val="24"/>
            <w:lang w:val="es-UY" w:eastAsia="es-UY"/>
            <w14:ligatures w14:val="none"/>
          </w:rPr>
          <w:t>[19]</w:t>
        </w:r>
      </w:hyperlink>
      <w:r w:rsidRPr="00FB6005">
        <w:rPr>
          <w:rFonts w:ascii="Open Sans" w:eastAsia="Times New Roman" w:hAnsi="Open Sans" w:cs="Open Sans"/>
          <w:color w:val="333333"/>
          <w:kern w:val="0"/>
          <w:sz w:val="24"/>
          <w:szCs w:val="24"/>
          <w:lang w:val="es-UY" w:eastAsia="es-UY"/>
          <w14:ligatures w14:val="none"/>
        </w:rPr>
        <w:t> una figura misericordiosa no sólo a nivel individual, sino también en términos colectivos. En sintonía con esto el Papa expresó: “Los movimientos populares son, además de poetas sociales, ‘samaritanos colectivos’ ”.</w:t>
      </w:r>
      <w:hyperlink r:id="rId29" w:anchor="_ftn20" w:history="1">
        <w:r w:rsidRPr="00FB6005">
          <w:rPr>
            <w:rFonts w:ascii="Open Sans" w:eastAsia="Times New Roman" w:hAnsi="Open Sans" w:cs="Open Sans"/>
            <w:color w:val="D49400"/>
            <w:kern w:val="0"/>
            <w:sz w:val="24"/>
            <w:szCs w:val="24"/>
            <w:lang w:val="es-UY" w:eastAsia="es-UY"/>
            <w14:ligatures w14:val="none"/>
          </w:rPr>
          <w:t>[20]</w:t>
        </w:r>
      </w:hyperlink>
      <w:r w:rsidRPr="00FB6005">
        <w:rPr>
          <w:rFonts w:ascii="Open Sans" w:eastAsia="Times New Roman" w:hAnsi="Open Sans" w:cs="Open Sans"/>
          <w:color w:val="333333"/>
          <w:kern w:val="0"/>
          <w:sz w:val="24"/>
          <w:szCs w:val="24"/>
          <w:lang w:val="es-UY" w:eastAsia="es-UY"/>
          <w14:ligatures w14:val="none"/>
        </w:rPr>
        <w:t> Por eso el Pontífice jesuita dice que en una “multitud orante, sentí el Buen Espíritu”, aclarando: “No hablo de multitud en el sentido anónimo de masa. Tampoco me refiero al tipo de organización que piensa y habla en nombre de los pobres, sino al pueblo de Dios, capaz de unirse para rezar por el dolor de sus hijos”.</w:t>
      </w:r>
      <w:hyperlink r:id="rId30" w:anchor="_ftn21" w:history="1">
        <w:r w:rsidRPr="00FB6005">
          <w:rPr>
            <w:rFonts w:ascii="Open Sans" w:eastAsia="Times New Roman" w:hAnsi="Open Sans" w:cs="Open Sans"/>
            <w:color w:val="D49400"/>
            <w:kern w:val="0"/>
            <w:sz w:val="24"/>
            <w:szCs w:val="24"/>
            <w:lang w:val="es-UY" w:eastAsia="es-UY"/>
            <w14:ligatures w14:val="none"/>
          </w:rPr>
          <w:t>[21]</w:t>
        </w:r>
      </w:hyperlink>
      <w:r w:rsidRPr="00FB6005">
        <w:rPr>
          <w:rFonts w:ascii="Open Sans" w:eastAsia="Times New Roman" w:hAnsi="Open Sans" w:cs="Open Sans"/>
          <w:b/>
          <w:bCs/>
          <w:color w:val="474747"/>
          <w:kern w:val="0"/>
          <w:sz w:val="24"/>
          <w:szCs w:val="24"/>
          <w:lang w:val="es-UY" w:eastAsia="es-UY"/>
          <w14:ligatures w14:val="none"/>
        </w:rPr>
        <w:t xml:space="preserve">Así entonces, como dice Emilce </w:t>
      </w:r>
      <w:proofErr w:type="spellStart"/>
      <w:r w:rsidRPr="00FB6005">
        <w:rPr>
          <w:rFonts w:ascii="Open Sans" w:eastAsia="Times New Roman" w:hAnsi="Open Sans" w:cs="Open Sans"/>
          <w:b/>
          <w:bCs/>
          <w:color w:val="474747"/>
          <w:kern w:val="0"/>
          <w:sz w:val="24"/>
          <w:szCs w:val="24"/>
          <w:lang w:val="es-UY" w:eastAsia="es-UY"/>
          <w14:ligatures w14:val="none"/>
        </w:rPr>
        <w:t>Cuda</w:t>
      </w:r>
      <w:proofErr w:type="spellEnd"/>
      <w:r w:rsidRPr="00FB6005">
        <w:rPr>
          <w:rFonts w:ascii="Open Sans" w:eastAsia="Times New Roman" w:hAnsi="Open Sans" w:cs="Open Sans"/>
          <w:b/>
          <w:bCs/>
          <w:color w:val="474747"/>
          <w:kern w:val="0"/>
          <w:sz w:val="24"/>
          <w:szCs w:val="24"/>
          <w:lang w:val="es-UY" w:eastAsia="es-UY"/>
          <w14:ligatures w14:val="none"/>
        </w:rPr>
        <w:t xml:space="preserve"> respecto a la ética social del actual Papa, “la misericordia es la forma política de la comunidad organizada por justicia social para la vida digna”</w:t>
      </w:r>
      <w:r w:rsidRPr="00FB6005">
        <w:rPr>
          <w:rFonts w:ascii="Open Sans" w:eastAsia="Times New Roman" w:hAnsi="Open Sans" w:cs="Open Sans"/>
          <w:color w:val="333333"/>
          <w:kern w:val="0"/>
          <w:sz w:val="24"/>
          <w:szCs w:val="24"/>
          <w:lang w:val="es-UY" w:eastAsia="es-UY"/>
          <w14:ligatures w14:val="none"/>
        </w:rPr>
        <w:t>.</w:t>
      </w:r>
      <w:hyperlink r:id="rId31" w:anchor="_ftn22" w:history="1">
        <w:r w:rsidRPr="00FB6005">
          <w:rPr>
            <w:rFonts w:ascii="Open Sans" w:eastAsia="Times New Roman" w:hAnsi="Open Sans" w:cs="Open Sans"/>
            <w:color w:val="D49400"/>
            <w:kern w:val="0"/>
            <w:sz w:val="24"/>
            <w:szCs w:val="24"/>
            <w:lang w:val="es-UY" w:eastAsia="es-UY"/>
            <w14:ligatures w14:val="none"/>
          </w:rPr>
          <w:t>[22]</w:t>
        </w:r>
      </w:hyperlink>
    </w:p>
    <w:p w14:paraId="57652595" w14:textId="77777777" w:rsidR="00FB6005" w:rsidRPr="00FB6005" w:rsidRDefault="00FB6005" w:rsidP="00FB6005">
      <w:pPr>
        <w:shd w:val="clear" w:color="auto" w:fill="FFFFFF"/>
        <w:spacing w:before="300" w:line="300" w:lineRule="atLeast"/>
        <w:jc w:val="center"/>
        <w:rPr>
          <w:rFonts w:ascii="Montserrat" w:eastAsia="Times New Roman" w:hAnsi="Montserrat" w:cs="Open Sans"/>
          <w:b/>
          <w:bCs/>
          <w:i/>
          <w:iCs/>
          <w:color w:val="D49400"/>
          <w:kern w:val="0"/>
          <w:sz w:val="28"/>
          <w:szCs w:val="28"/>
          <w:lang w:val="es-UY" w:eastAsia="es-UY"/>
          <w14:ligatures w14:val="none"/>
        </w:rPr>
      </w:pPr>
      <w:r w:rsidRPr="00FB6005">
        <w:rPr>
          <w:rFonts w:ascii="Montserrat" w:eastAsia="Times New Roman" w:hAnsi="Montserrat" w:cs="Open Sans"/>
          <w:b/>
          <w:bCs/>
          <w:i/>
          <w:iCs/>
          <w:color w:val="D49400"/>
          <w:kern w:val="0"/>
          <w:sz w:val="28"/>
          <w:szCs w:val="28"/>
          <w:lang w:val="es-UY" w:eastAsia="es-UY"/>
          <w14:ligatures w14:val="none"/>
        </w:rPr>
        <w:t>"La señal del Reino de Dios es que hay gozo para los pobres, es decir, que son superadas todas las diferencias que el pecado ha establecido entre nosotros. El Espíritu de Dios nos llevará a reconocer esto y, por eso, el discernimiento nos ha de llevar a reconocer a todos los hombres como hijos de Dios"</w:t>
      </w:r>
    </w:p>
    <w:p w14:paraId="5E5FA004"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color w:val="333333"/>
          <w:kern w:val="0"/>
          <w:sz w:val="24"/>
          <w:szCs w:val="24"/>
          <w:lang w:val="es-UY" w:eastAsia="es-UY"/>
          <w14:ligatures w14:val="none"/>
        </w:rPr>
        <w:t>Finalizando estas reflexiones, cabe recordar que resulta “evidente –sostenía Vives Solé, SJ- que hay una relación básica entre seguimiento, imitación (de Jesús), discernimiento y opción por [y con] los pobres”, puesto que “cuanto menos, una de las cosas que Dios pedirá de nosotros en todo discernimiento –y que el Espíritu nos dará-, será el impulso a reconocer como hijos suyos a aquellos que los hombres no quieren reconocer como tales” (…) </w:t>
      </w:r>
      <w:r w:rsidRPr="00FB6005">
        <w:rPr>
          <w:rFonts w:ascii="Open Sans" w:eastAsia="Times New Roman" w:hAnsi="Open Sans" w:cs="Open Sans"/>
          <w:b/>
          <w:bCs/>
          <w:color w:val="474747"/>
          <w:kern w:val="0"/>
          <w:sz w:val="24"/>
          <w:szCs w:val="24"/>
          <w:lang w:val="es-UY" w:eastAsia="es-UY"/>
          <w14:ligatures w14:val="none"/>
        </w:rPr>
        <w:t>“Las Bienaventuranzas hay que practicarlas antes que predicarlas (…) Jesús las practicó haciendo bienaventurados a los pobres</w:t>
      </w:r>
      <w:r w:rsidRPr="00FB6005">
        <w:rPr>
          <w:rFonts w:ascii="Open Sans" w:eastAsia="Times New Roman" w:hAnsi="Open Sans" w:cs="Open Sans"/>
          <w:color w:val="333333"/>
          <w:kern w:val="0"/>
          <w:sz w:val="24"/>
          <w:szCs w:val="24"/>
          <w:lang w:val="es-UY" w:eastAsia="es-UY"/>
          <w14:ligatures w14:val="none"/>
        </w:rPr>
        <w:t> (…) La señal del Reino de Dios es que hay gozo para los pobres, es decir, que son superadas todas las diferencias que el pecado ha establecido entre nosotros. El Espíritu de Dios nos llevará a reconocer esto y, por eso, el discernimiento nos ha de llevar a reconocer a todos los hombres como hijos de Dios. Y sólo aquí hay seguimiento e imitación de Jesús (…)”</w:t>
      </w:r>
      <w:hyperlink r:id="rId32" w:anchor="_ftn23" w:history="1">
        <w:r w:rsidRPr="00FB6005">
          <w:rPr>
            <w:rFonts w:ascii="Open Sans" w:eastAsia="Times New Roman" w:hAnsi="Open Sans" w:cs="Open Sans"/>
            <w:color w:val="D49400"/>
            <w:kern w:val="0"/>
            <w:sz w:val="24"/>
            <w:szCs w:val="24"/>
            <w:lang w:val="es-UY" w:eastAsia="es-UY"/>
            <w14:ligatures w14:val="none"/>
          </w:rPr>
          <w:t>[23]</w:t>
        </w:r>
      </w:hyperlink>
    </w:p>
    <w:p w14:paraId="158A9FF5" w14:textId="77777777" w:rsidR="00FB6005" w:rsidRPr="00FB6005" w:rsidRDefault="00FB6005" w:rsidP="00FB6005">
      <w:pPr>
        <w:shd w:val="clear" w:color="auto" w:fill="FFFFFF"/>
        <w:spacing w:after="0" w:line="300" w:lineRule="atLeast"/>
        <w:rPr>
          <w:rFonts w:ascii="Open Sans" w:eastAsia="Times New Roman" w:hAnsi="Open Sans" w:cs="Open Sans"/>
          <w:color w:val="474747"/>
          <w:kern w:val="0"/>
          <w:sz w:val="21"/>
          <w:szCs w:val="21"/>
          <w:lang w:val="es-UY" w:eastAsia="es-UY"/>
          <w14:ligatures w14:val="none"/>
        </w:rPr>
      </w:pPr>
      <w:r w:rsidRPr="00FB6005">
        <w:rPr>
          <w:rFonts w:ascii="Open Sans" w:eastAsia="Times New Roman" w:hAnsi="Open Sans" w:cs="Open Sans"/>
          <w:noProof/>
          <w:color w:val="474747"/>
          <w:kern w:val="0"/>
          <w:sz w:val="21"/>
          <w:szCs w:val="21"/>
          <w:lang w:val="es-UY" w:eastAsia="es-UY"/>
          <w14:ligatures w14:val="none"/>
        </w:rPr>
        <w:drawing>
          <wp:inline distT="0" distB="0" distL="0" distR="0" wp14:anchorId="1CE20F02" wp14:editId="05AE864B">
            <wp:extent cx="4800600" cy="2695242"/>
            <wp:effectExtent l="0" t="0" r="0" b="0"/>
            <wp:docPr id="5" name="Imagen 5" descr="Homilía de Berg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ilía de Bergogli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8180" cy="2705112"/>
                    </a:xfrm>
                    <a:prstGeom prst="rect">
                      <a:avLst/>
                    </a:prstGeom>
                    <a:noFill/>
                    <a:ln>
                      <a:noFill/>
                    </a:ln>
                  </pic:spPr>
                </pic:pic>
              </a:graphicData>
            </a:graphic>
          </wp:inline>
        </w:drawing>
      </w:r>
    </w:p>
    <w:p w14:paraId="02274011" w14:textId="77777777" w:rsidR="00FB6005" w:rsidRPr="00FB6005" w:rsidRDefault="00FB6005" w:rsidP="00FB6005">
      <w:pPr>
        <w:shd w:val="clear" w:color="auto" w:fill="FFFFFF"/>
        <w:spacing w:line="300" w:lineRule="atLeast"/>
        <w:jc w:val="both"/>
        <w:rPr>
          <w:rFonts w:ascii="Open Sans" w:eastAsia="Times New Roman" w:hAnsi="Open Sans" w:cs="Open Sans"/>
          <w:color w:val="474747"/>
          <w:kern w:val="0"/>
          <w:sz w:val="24"/>
          <w:szCs w:val="24"/>
          <w:lang w:val="es-UY" w:eastAsia="es-UY"/>
          <w14:ligatures w14:val="none"/>
        </w:rPr>
      </w:pPr>
      <w:r w:rsidRPr="00FB6005">
        <w:rPr>
          <w:rFonts w:ascii="Open Sans" w:eastAsia="Times New Roman" w:hAnsi="Open Sans" w:cs="Open Sans"/>
          <w:color w:val="474747"/>
          <w:kern w:val="0"/>
          <w:sz w:val="21"/>
          <w:szCs w:val="21"/>
          <w:lang w:val="es-UY" w:eastAsia="es-UY"/>
          <w14:ligatures w14:val="none"/>
        </w:rPr>
        <w:t>Homilía de Bergoglio</w:t>
      </w:r>
    </w:p>
    <w:p w14:paraId="36D17949"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FB6005">
        <w:rPr>
          <w:rFonts w:ascii="Open Sans" w:eastAsia="Times New Roman" w:hAnsi="Open Sans" w:cs="Open Sans"/>
          <w:b/>
          <w:bCs/>
          <w:color w:val="474747"/>
          <w:kern w:val="0"/>
          <w:sz w:val="24"/>
          <w:szCs w:val="24"/>
          <w:lang w:val="es-UY" w:eastAsia="es-UY"/>
          <w14:ligatures w14:val="none"/>
        </w:rPr>
        <w:t>No se trata entonces de “cumplimiento de consejos, sino de imitar lo que Jesús hizo, no por razones de tipo social, político o económico…, sino porque donde hay gozo para los pobres hay gozo para Dios”.</w:t>
      </w:r>
      <w:r w:rsidRPr="00FB6005">
        <w:rPr>
          <w:rFonts w:ascii="Open Sans" w:eastAsia="Times New Roman" w:hAnsi="Open Sans" w:cs="Open Sans"/>
          <w:color w:val="333333"/>
          <w:kern w:val="0"/>
          <w:sz w:val="24"/>
          <w:szCs w:val="24"/>
          <w:lang w:val="es-UY" w:eastAsia="es-UY"/>
          <w14:ligatures w14:val="none"/>
        </w:rPr>
        <w:t> La propuesta de Jesús, es decir, el Reino de Dios, entendido “como el Reino en que los hombres reconocen a Dios como Padre reconociéndose como hermanos”,</w:t>
      </w:r>
      <w:hyperlink r:id="rId34" w:anchor="_ftn24" w:history="1">
        <w:r w:rsidRPr="00FB6005">
          <w:rPr>
            <w:rFonts w:ascii="Open Sans" w:eastAsia="Times New Roman" w:hAnsi="Open Sans" w:cs="Open Sans"/>
            <w:color w:val="D49400"/>
            <w:kern w:val="0"/>
            <w:sz w:val="24"/>
            <w:szCs w:val="24"/>
            <w:lang w:val="es-UY" w:eastAsia="es-UY"/>
            <w14:ligatures w14:val="none"/>
          </w:rPr>
          <w:t>[24]</w:t>
        </w:r>
      </w:hyperlink>
      <w:r w:rsidRPr="00FB6005">
        <w:rPr>
          <w:rFonts w:ascii="Open Sans" w:eastAsia="Times New Roman" w:hAnsi="Open Sans" w:cs="Open Sans"/>
          <w:color w:val="333333"/>
          <w:kern w:val="0"/>
          <w:sz w:val="24"/>
          <w:szCs w:val="24"/>
          <w:lang w:val="es-UY" w:eastAsia="es-UY"/>
          <w14:ligatures w14:val="none"/>
        </w:rPr>
        <w:t> es lo que vuelve a proponer Francisco, promoviendo “un diálogo con todos, para buscar juntos caminos de liberación”</w:t>
      </w:r>
      <w:hyperlink r:id="rId35" w:anchor="_ftn25" w:history="1">
        <w:r w:rsidRPr="00FB6005">
          <w:rPr>
            <w:rFonts w:ascii="Open Sans" w:eastAsia="Times New Roman" w:hAnsi="Open Sans" w:cs="Open Sans"/>
            <w:color w:val="D49400"/>
            <w:kern w:val="0"/>
            <w:sz w:val="24"/>
            <w:szCs w:val="24"/>
            <w:lang w:val="es-UY" w:eastAsia="es-UY"/>
            <w14:ligatures w14:val="none"/>
          </w:rPr>
          <w:t>[25]</w:t>
        </w:r>
      </w:hyperlink>
      <w:r w:rsidRPr="00FB6005">
        <w:rPr>
          <w:rFonts w:ascii="Open Sans" w:eastAsia="Times New Roman" w:hAnsi="Open Sans" w:cs="Open Sans"/>
          <w:color w:val="333333"/>
          <w:kern w:val="0"/>
          <w:sz w:val="24"/>
          <w:szCs w:val="24"/>
          <w:lang w:val="es-UY" w:eastAsia="es-UY"/>
          <w14:ligatures w14:val="none"/>
        </w:rPr>
        <w:t xml:space="preserve"> integral, estando atentos a la sobreabundancia expresada en las experiencias “de salvación comunitaria” (retomando a Juan Carlos </w:t>
      </w:r>
      <w:proofErr w:type="spellStart"/>
      <w:r w:rsidRPr="00FB6005">
        <w:rPr>
          <w:rFonts w:ascii="Open Sans" w:eastAsia="Times New Roman" w:hAnsi="Open Sans" w:cs="Open Sans"/>
          <w:color w:val="333333"/>
          <w:kern w:val="0"/>
          <w:sz w:val="24"/>
          <w:szCs w:val="24"/>
          <w:lang w:val="es-UY" w:eastAsia="es-UY"/>
          <w14:ligatures w14:val="none"/>
        </w:rPr>
        <w:t>Scannone</w:t>
      </w:r>
      <w:proofErr w:type="spellEnd"/>
      <w:r w:rsidRPr="00FB6005">
        <w:rPr>
          <w:rFonts w:ascii="Open Sans" w:eastAsia="Times New Roman" w:hAnsi="Open Sans" w:cs="Open Sans"/>
          <w:color w:val="333333"/>
          <w:kern w:val="0"/>
          <w:sz w:val="24"/>
          <w:szCs w:val="24"/>
          <w:lang w:val="es-UY" w:eastAsia="es-UY"/>
          <w14:ligatures w14:val="none"/>
        </w:rPr>
        <w:t>, SJ),</w:t>
      </w:r>
      <w:hyperlink r:id="rId36" w:anchor="_ftn26" w:history="1">
        <w:r w:rsidRPr="00FB6005">
          <w:rPr>
            <w:rFonts w:ascii="Open Sans" w:eastAsia="Times New Roman" w:hAnsi="Open Sans" w:cs="Open Sans"/>
            <w:color w:val="D49400"/>
            <w:kern w:val="0"/>
            <w:sz w:val="24"/>
            <w:szCs w:val="24"/>
            <w:lang w:val="es-UY" w:eastAsia="es-UY"/>
            <w14:ligatures w14:val="none"/>
          </w:rPr>
          <w:t>[26]</w:t>
        </w:r>
      </w:hyperlink>
      <w:r w:rsidRPr="00FB6005">
        <w:rPr>
          <w:rFonts w:ascii="Open Sans" w:eastAsia="Times New Roman" w:hAnsi="Open Sans" w:cs="Open Sans"/>
          <w:color w:val="333333"/>
          <w:kern w:val="0"/>
          <w:sz w:val="24"/>
          <w:szCs w:val="24"/>
          <w:lang w:val="es-UY" w:eastAsia="es-UY"/>
          <w14:ligatures w14:val="none"/>
        </w:rPr>
        <w:t xml:space="preserve"> y enfatizando el rol social de la misericordia, que fundamenta y se manifiesta en (recordando al </w:t>
      </w:r>
      <w:proofErr w:type="spellStart"/>
      <w:r w:rsidRPr="00FB6005">
        <w:rPr>
          <w:rFonts w:ascii="Open Sans" w:eastAsia="Times New Roman" w:hAnsi="Open Sans" w:cs="Open Sans"/>
          <w:color w:val="333333"/>
          <w:kern w:val="0"/>
          <w:sz w:val="24"/>
          <w:szCs w:val="24"/>
          <w:lang w:val="es-UY" w:eastAsia="es-UY"/>
          <w14:ligatures w14:val="none"/>
        </w:rPr>
        <w:t>Aquinate</w:t>
      </w:r>
      <w:proofErr w:type="spellEnd"/>
      <w:r w:rsidRPr="00FB6005">
        <w:rPr>
          <w:rFonts w:ascii="Open Sans" w:eastAsia="Times New Roman" w:hAnsi="Open Sans" w:cs="Open Sans"/>
          <w:color w:val="333333"/>
          <w:kern w:val="0"/>
          <w:sz w:val="24"/>
          <w:szCs w:val="24"/>
          <w:lang w:val="es-UY" w:eastAsia="es-UY"/>
          <w14:ligatures w14:val="none"/>
        </w:rPr>
        <w:t>) “la actividad del amor político”.</w:t>
      </w:r>
      <w:hyperlink r:id="rId37" w:anchor="_ftn27" w:history="1">
        <w:r w:rsidRPr="00FB6005">
          <w:rPr>
            <w:rFonts w:ascii="Open Sans" w:eastAsia="Times New Roman" w:hAnsi="Open Sans" w:cs="Open Sans"/>
            <w:color w:val="D49400"/>
            <w:kern w:val="0"/>
            <w:sz w:val="24"/>
            <w:szCs w:val="24"/>
            <w:lang w:val="es-UY" w:eastAsia="es-UY"/>
            <w14:ligatures w14:val="none"/>
          </w:rPr>
          <w:t>[27]</w:t>
        </w:r>
      </w:hyperlink>
      <w:r w:rsidRPr="00FB6005">
        <w:rPr>
          <w:rFonts w:ascii="Open Sans" w:eastAsia="Times New Roman" w:hAnsi="Open Sans" w:cs="Open Sans"/>
          <w:color w:val="333333"/>
          <w:kern w:val="0"/>
          <w:sz w:val="24"/>
          <w:szCs w:val="24"/>
          <w:lang w:val="es-UY" w:eastAsia="es-UY"/>
          <w14:ligatures w14:val="none"/>
        </w:rPr>
        <w:t> Éste será “verdaderamente popular” siempre que </w:t>
      </w:r>
      <w:r w:rsidRPr="00FB6005">
        <w:rPr>
          <w:rFonts w:ascii="Open Sans" w:eastAsia="Times New Roman" w:hAnsi="Open Sans" w:cs="Open Sans"/>
          <w:i/>
          <w:iCs/>
          <w:color w:val="474747"/>
          <w:kern w:val="0"/>
          <w:sz w:val="24"/>
          <w:szCs w:val="24"/>
          <w:lang w:val="es-UY" w:eastAsia="es-UY"/>
          <w14:ligatures w14:val="none"/>
        </w:rPr>
        <w:t>edifique la comunidad</w:t>
      </w:r>
      <w:r w:rsidRPr="00FB6005">
        <w:rPr>
          <w:rFonts w:ascii="Open Sans" w:eastAsia="Times New Roman" w:hAnsi="Open Sans" w:cs="Open Sans"/>
          <w:color w:val="333333"/>
          <w:kern w:val="0"/>
          <w:sz w:val="24"/>
          <w:szCs w:val="24"/>
          <w:lang w:val="es-UY" w:eastAsia="es-UY"/>
          <w14:ligatures w14:val="none"/>
        </w:rPr>
        <w:t xml:space="preserve"> (Cf. 1 </w:t>
      </w:r>
      <w:proofErr w:type="spellStart"/>
      <w:r w:rsidRPr="00FB6005">
        <w:rPr>
          <w:rFonts w:ascii="Open Sans" w:eastAsia="Times New Roman" w:hAnsi="Open Sans" w:cs="Open Sans"/>
          <w:color w:val="333333"/>
          <w:kern w:val="0"/>
          <w:sz w:val="24"/>
          <w:szCs w:val="24"/>
          <w:lang w:val="es-UY" w:eastAsia="es-UY"/>
          <w14:ligatures w14:val="none"/>
        </w:rPr>
        <w:t>Cor</w:t>
      </w:r>
      <w:proofErr w:type="spellEnd"/>
      <w:r w:rsidRPr="00FB6005">
        <w:rPr>
          <w:rFonts w:ascii="Open Sans" w:eastAsia="Times New Roman" w:hAnsi="Open Sans" w:cs="Open Sans"/>
          <w:color w:val="333333"/>
          <w:kern w:val="0"/>
          <w:sz w:val="24"/>
          <w:szCs w:val="24"/>
          <w:lang w:val="es-UY" w:eastAsia="es-UY"/>
          <w14:ligatures w14:val="none"/>
        </w:rPr>
        <w:t xml:space="preserve"> 13), que  promueva “el bien del pueblo”, a partir de “asegurar a todos la posibilidad de hacer brotar las semillas que Dios ha puesto en cada uno, sus capacidades, su iniciativa, sus fuerzas. Esa es la mejor ayuda para un pobre, el mejor camino hacia una existencia digna”.</w:t>
      </w:r>
      <w:hyperlink r:id="rId38" w:anchor="_ftn28" w:history="1">
        <w:r w:rsidRPr="00FB6005">
          <w:rPr>
            <w:rFonts w:ascii="Open Sans" w:eastAsia="Times New Roman" w:hAnsi="Open Sans" w:cs="Open Sans"/>
            <w:color w:val="D49400"/>
            <w:kern w:val="0"/>
            <w:sz w:val="24"/>
            <w:szCs w:val="24"/>
            <w:lang w:val="es-UY" w:eastAsia="es-UY"/>
            <w14:ligatures w14:val="none"/>
          </w:rPr>
          <w:t>[28]</w:t>
        </w:r>
      </w:hyperlink>
    </w:p>
    <w:p w14:paraId="1D26A656"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FB6005">
        <w:rPr>
          <w:rFonts w:ascii="Open Sans" w:eastAsia="Times New Roman" w:hAnsi="Open Sans" w:cs="Open Sans"/>
          <w:color w:val="333333"/>
          <w:kern w:val="0"/>
          <w:sz w:val="21"/>
          <w:szCs w:val="21"/>
          <w:lang w:val="es-UY" w:eastAsia="es-UY"/>
          <w14:ligatures w14:val="none"/>
        </w:rPr>
        <w:t>—</w:t>
      </w:r>
    </w:p>
    <w:p w14:paraId="6EC8004A"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39" w:anchor="_ftnref1" w:history="1">
        <w:r w:rsidRPr="00FB6005">
          <w:rPr>
            <w:rFonts w:ascii="Open Sans" w:eastAsia="Times New Roman" w:hAnsi="Open Sans" w:cs="Open Sans"/>
            <w:color w:val="D49400"/>
            <w:kern w:val="0"/>
            <w:sz w:val="21"/>
            <w:szCs w:val="21"/>
            <w:lang w:val="es-UY" w:eastAsia="es-UY"/>
            <w14:ligatures w14:val="none"/>
          </w:rPr>
          <w:t>[1]</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Puigròs</w:t>
      </w:r>
      <w:proofErr w:type="spellEnd"/>
      <w:r w:rsidRPr="00FB6005">
        <w:rPr>
          <w:rFonts w:ascii="Open Sans" w:eastAsia="Times New Roman" w:hAnsi="Open Sans" w:cs="Open Sans"/>
          <w:color w:val="333333"/>
          <w:kern w:val="0"/>
          <w:sz w:val="21"/>
          <w:szCs w:val="21"/>
          <w:lang w:val="es-UY" w:eastAsia="es-UY"/>
          <w14:ligatures w14:val="none"/>
        </w:rPr>
        <w:t>, Eric (2018). “Apropiarse de la vida. Acompañamiento ignaciano y discernimiento vocacional”, en </w:t>
      </w:r>
      <w:r w:rsidRPr="00FB6005">
        <w:rPr>
          <w:rFonts w:ascii="Open Sans" w:eastAsia="Times New Roman" w:hAnsi="Open Sans" w:cs="Open Sans"/>
          <w:i/>
          <w:iCs/>
          <w:color w:val="474747"/>
          <w:kern w:val="0"/>
          <w:sz w:val="21"/>
          <w:szCs w:val="21"/>
          <w:lang w:val="es-UY" w:eastAsia="es-UY"/>
          <w14:ligatures w14:val="none"/>
        </w:rPr>
        <w:t>Manresa</w:t>
      </w:r>
      <w:r w:rsidRPr="00FB6005">
        <w:rPr>
          <w:rFonts w:ascii="Open Sans" w:eastAsia="Times New Roman" w:hAnsi="Open Sans" w:cs="Open Sans"/>
          <w:color w:val="333333"/>
          <w:kern w:val="0"/>
          <w:sz w:val="21"/>
          <w:szCs w:val="21"/>
          <w:lang w:val="es-UY" w:eastAsia="es-UY"/>
          <w14:ligatures w14:val="none"/>
        </w:rPr>
        <w:t>, Vol. 90, p. 347.</w:t>
      </w:r>
    </w:p>
    <w:p w14:paraId="09C008E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0" w:anchor="_ftnref2" w:history="1">
        <w:r w:rsidRPr="00FB6005">
          <w:rPr>
            <w:rFonts w:ascii="Open Sans" w:eastAsia="Times New Roman" w:hAnsi="Open Sans" w:cs="Open Sans"/>
            <w:color w:val="D49400"/>
            <w:kern w:val="0"/>
            <w:sz w:val="21"/>
            <w:szCs w:val="21"/>
            <w:lang w:val="es-UY" w:eastAsia="es-UY"/>
            <w14:ligatures w14:val="none"/>
          </w:rPr>
          <w:t>[2]</w:t>
        </w:r>
      </w:hyperlink>
      <w:r w:rsidRPr="00FB6005">
        <w:rPr>
          <w:rFonts w:ascii="Open Sans" w:eastAsia="Times New Roman" w:hAnsi="Open Sans" w:cs="Open Sans"/>
          <w:color w:val="333333"/>
          <w:kern w:val="0"/>
          <w:sz w:val="21"/>
          <w:szCs w:val="21"/>
          <w:lang w:val="es-UY" w:eastAsia="es-UY"/>
          <w14:ligatures w14:val="none"/>
        </w:rPr>
        <w:t xml:space="preserve"> Francisco, en </w:t>
      </w:r>
      <w:proofErr w:type="spellStart"/>
      <w:r w:rsidRPr="00FB6005">
        <w:rPr>
          <w:rFonts w:ascii="Open Sans" w:eastAsia="Times New Roman" w:hAnsi="Open Sans" w:cs="Open Sans"/>
          <w:color w:val="333333"/>
          <w:kern w:val="0"/>
          <w:sz w:val="21"/>
          <w:szCs w:val="21"/>
          <w:lang w:val="es-UY" w:eastAsia="es-UY"/>
          <w14:ligatures w14:val="none"/>
        </w:rPr>
        <w:t>Spadaro</w:t>
      </w:r>
      <w:proofErr w:type="spellEnd"/>
      <w:r w:rsidRPr="00FB6005">
        <w:rPr>
          <w:rFonts w:ascii="Open Sans" w:eastAsia="Times New Roman" w:hAnsi="Open Sans" w:cs="Open Sans"/>
          <w:color w:val="333333"/>
          <w:kern w:val="0"/>
          <w:sz w:val="21"/>
          <w:szCs w:val="21"/>
          <w:lang w:val="es-UY" w:eastAsia="es-UY"/>
          <w14:ligatures w14:val="none"/>
        </w:rPr>
        <w:t>, Antonio (2022). “Conversación del Papa Francisco con los directores de las revistas culturales europeas de los jesuitas”, en </w:t>
      </w:r>
      <w:r w:rsidRPr="00FB6005">
        <w:rPr>
          <w:rFonts w:ascii="Open Sans" w:eastAsia="Times New Roman" w:hAnsi="Open Sans" w:cs="Open Sans"/>
          <w:i/>
          <w:iCs/>
          <w:color w:val="474747"/>
          <w:kern w:val="0"/>
          <w:sz w:val="21"/>
          <w:szCs w:val="21"/>
          <w:lang w:val="es-UY" w:eastAsia="es-UY"/>
          <w14:ligatures w14:val="none"/>
        </w:rPr>
        <w:t xml:space="preserve">La </w:t>
      </w:r>
      <w:proofErr w:type="spellStart"/>
      <w:r w:rsidRPr="00FB6005">
        <w:rPr>
          <w:rFonts w:ascii="Open Sans" w:eastAsia="Times New Roman" w:hAnsi="Open Sans" w:cs="Open Sans"/>
          <w:i/>
          <w:iCs/>
          <w:color w:val="474747"/>
          <w:kern w:val="0"/>
          <w:sz w:val="21"/>
          <w:szCs w:val="21"/>
          <w:lang w:val="es-UY" w:eastAsia="es-UY"/>
          <w14:ligatures w14:val="none"/>
        </w:rPr>
        <w:t>Civiltà</w:t>
      </w:r>
      <w:proofErr w:type="spellEnd"/>
      <w:r w:rsidRPr="00FB6005">
        <w:rPr>
          <w:rFonts w:ascii="Open Sans" w:eastAsia="Times New Roman" w:hAnsi="Open Sans" w:cs="Open Sans"/>
          <w:i/>
          <w:iCs/>
          <w:color w:val="474747"/>
          <w:kern w:val="0"/>
          <w:sz w:val="21"/>
          <w:szCs w:val="21"/>
          <w:lang w:val="es-UY" w:eastAsia="es-UY"/>
          <w14:ligatures w14:val="none"/>
        </w:rPr>
        <w:t xml:space="preserve"> </w:t>
      </w:r>
      <w:proofErr w:type="spellStart"/>
      <w:r w:rsidRPr="00FB6005">
        <w:rPr>
          <w:rFonts w:ascii="Open Sans" w:eastAsia="Times New Roman" w:hAnsi="Open Sans" w:cs="Open Sans"/>
          <w:i/>
          <w:iCs/>
          <w:color w:val="474747"/>
          <w:kern w:val="0"/>
          <w:sz w:val="21"/>
          <w:szCs w:val="21"/>
          <w:lang w:val="es-UY" w:eastAsia="es-UY"/>
          <w14:ligatures w14:val="none"/>
        </w:rPr>
        <w:t>Cattolica</w:t>
      </w:r>
      <w:proofErr w:type="spellEnd"/>
      <w:r w:rsidRPr="00FB6005">
        <w:rPr>
          <w:rFonts w:ascii="Open Sans" w:eastAsia="Times New Roman" w:hAnsi="Open Sans" w:cs="Open Sans"/>
          <w:color w:val="333333"/>
          <w:kern w:val="0"/>
          <w:sz w:val="21"/>
          <w:szCs w:val="21"/>
          <w:lang w:val="es-UY" w:eastAsia="es-UY"/>
          <w14:ligatures w14:val="none"/>
        </w:rPr>
        <w:t>, 14/06/2022.</w:t>
      </w:r>
    </w:p>
    <w:p w14:paraId="27233142"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1" w:anchor="_ftnref3" w:history="1">
        <w:r w:rsidRPr="00FB6005">
          <w:rPr>
            <w:rFonts w:ascii="Open Sans" w:eastAsia="Times New Roman" w:hAnsi="Open Sans" w:cs="Open Sans"/>
            <w:color w:val="D49400"/>
            <w:kern w:val="0"/>
            <w:sz w:val="21"/>
            <w:szCs w:val="21"/>
            <w:lang w:val="es-UY" w:eastAsia="es-UY"/>
            <w14:ligatures w14:val="none"/>
          </w:rPr>
          <w:t>[3]</w:t>
        </w:r>
      </w:hyperlink>
      <w:r w:rsidRPr="00FB6005">
        <w:rPr>
          <w:rFonts w:ascii="Open Sans" w:eastAsia="Times New Roman" w:hAnsi="Open Sans" w:cs="Open Sans"/>
          <w:color w:val="333333"/>
          <w:kern w:val="0"/>
          <w:sz w:val="21"/>
          <w:szCs w:val="21"/>
          <w:lang w:val="es-UY" w:eastAsia="es-UY"/>
          <w14:ligatures w14:val="none"/>
        </w:rPr>
        <w:t> EE 313.</w:t>
      </w:r>
    </w:p>
    <w:p w14:paraId="0C257D8F"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2" w:anchor="_ftnref4" w:history="1">
        <w:r w:rsidRPr="00FB6005">
          <w:rPr>
            <w:rFonts w:ascii="Open Sans" w:eastAsia="Times New Roman" w:hAnsi="Open Sans" w:cs="Open Sans"/>
            <w:color w:val="D49400"/>
            <w:kern w:val="0"/>
            <w:sz w:val="21"/>
            <w:szCs w:val="21"/>
            <w:lang w:val="es-UY" w:eastAsia="es-UY"/>
            <w14:ligatures w14:val="none"/>
          </w:rPr>
          <w:t>[4]</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Mollà</w:t>
      </w:r>
      <w:proofErr w:type="spellEnd"/>
      <w:r w:rsidRPr="00FB6005">
        <w:rPr>
          <w:rFonts w:ascii="Open Sans" w:eastAsia="Times New Roman" w:hAnsi="Open Sans" w:cs="Open Sans"/>
          <w:color w:val="333333"/>
          <w:kern w:val="0"/>
          <w:sz w:val="21"/>
          <w:szCs w:val="21"/>
          <w:lang w:val="es-UY" w:eastAsia="es-UY"/>
          <w14:ligatures w14:val="none"/>
        </w:rPr>
        <w:t>, Darío (2007). </w:t>
      </w:r>
      <w:r w:rsidRPr="00FB6005">
        <w:rPr>
          <w:rFonts w:ascii="Open Sans" w:eastAsia="Times New Roman" w:hAnsi="Open Sans" w:cs="Open Sans"/>
          <w:i/>
          <w:iCs/>
          <w:color w:val="474747"/>
          <w:kern w:val="0"/>
          <w:sz w:val="21"/>
          <w:szCs w:val="21"/>
          <w:lang w:val="es-UY" w:eastAsia="es-UY"/>
          <w14:ligatures w14:val="none"/>
        </w:rPr>
        <w:t>Acompañar la tentación</w:t>
      </w:r>
      <w:r w:rsidRPr="00FB6005">
        <w:rPr>
          <w:rFonts w:ascii="Open Sans" w:eastAsia="Times New Roman" w:hAnsi="Open Sans" w:cs="Open Sans"/>
          <w:color w:val="333333"/>
          <w:kern w:val="0"/>
          <w:sz w:val="21"/>
          <w:szCs w:val="21"/>
          <w:lang w:val="es-UY" w:eastAsia="es-UY"/>
          <w14:ligatures w14:val="none"/>
        </w:rPr>
        <w:t xml:space="preserve">, Barcelona, </w:t>
      </w:r>
      <w:proofErr w:type="spellStart"/>
      <w:r w:rsidRPr="00FB6005">
        <w:rPr>
          <w:rFonts w:ascii="Open Sans" w:eastAsia="Times New Roman" w:hAnsi="Open Sans" w:cs="Open Sans"/>
          <w:color w:val="333333"/>
          <w:kern w:val="0"/>
          <w:sz w:val="21"/>
          <w:szCs w:val="21"/>
          <w:lang w:val="es-UY" w:eastAsia="es-UY"/>
          <w14:ligatures w14:val="none"/>
        </w:rPr>
        <w:t>Cristianisme</w:t>
      </w:r>
      <w:proofErr w:type="spellEnd"/>
      <w:r w:rsidRPr="00FB6005">
        <w:rPr>
          <w:rFonts w:ascii="Open Sans" w:eastAsia="Times New Roman" w:hAnsi="Open Sans" w:cs="Open Sans"/>
          <w:color w:val="333333"/>
          <w:kern w:val="0"/>
          <w:sz w:val="21"/>
          <w:szCs w:val="21"/>
          <w:lang w:val="es-UY" w:eastAsia="es-UY"/>
          <w14:ligatures w14:val="none"/>
        </w:rPr>
        <w:t xml:space="preserve"> i </w:t>
      </w:r>
      <w:proofErr w:type="spellStart"/>
      <w:r w:rsidRPr="00FB6005">
        <w:rPr>
          <w:rFonts w:ascii="Open Sans" w:eastAsia="Times New Roman" w:hAnsi="Open Sans" w:cs="Open Sans"/>
          <w:color w:val="333333"/>
          <w:kern w:val="0"/>
          <w:sz w:val="21"/>
          <w:szCs w:val="21"/>
          <w:lang w:val="es-UY" w:eastAsia="es-UY"/>
          <w14:ligatures w14:val="none"/>
        </w:rPr>
        <w:t>Justícia</w:t>
      </w:r>
      <w:proofErr w:type="spellEnd"/>
      <w:r w:rsidRPr="00FB6005">
        <w:rPr>
          <w:rFonts w:ascii="Open Sans" w:eastAsia="Times New Roman" w:hAnsi="Open Sans" w:cs="Open Sans"/>
          <w:color w:val="333333"/>
          <w:kern w:val="0"/>
          <w:sz w:val="21"/>
          <w:szCs w:val="21"/>
          <w:lang w:val="es-UY" w:eastAsia="es-UY"/>
          <w14:ligatures w14:val="none"/>
        </w:rPr>
        <w:t>, pp. 17-18.</w:t>
      </w:r>
    </w:p>
    <w:p w14:paraId="154E7C7E"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3" w:anchor="_ftnref5" w:history="1">
        <w:r w:rsidRPr="00FB6005">
          <w:rPr>
            <w:rFonts w:ascii="Open Sans" w:eastAsia="Times New Roman" w:hAnsi="Open Sans" w:cs="Open Sans"/>
            <w:color w:val="D49400"/>
            <w:kern w:val="0"/>
            <w:sz w:val="21"/>
            <w:szCs w:val="21"/>
            <w:lang w:val="es-UY" w:eastAsia="es-UY"/>
            <w14:ligatures w14:val="none"/>
          </w:rPr>
          <w:t>[5]</w:t>
        </w:r>
        <w:proofErr w:type="spellStart"/>
      </w:hyperlink>
      <w:r w:rsidRPr="00FB6005">
        <w:rPr>
          <w:rFonts w:ascii="Open Sans" w:eastAsia="Times New Roman" w:hAnsi="Open Sans" w:cs="Open Sans"/>
          <w:i/>
          <w:iCs/>
          <w:color w:val="474747"/>
          <w:kern w:val="0"/>
          <w:sz w:val="21"/>
          <w:szCs w:val="21"/>
          <w:lang w:val="es-UY" w:eastAsia="es-UY"/>
          <w14:ligatures w14:val="none"/>
        </w:rPr>
        <w:t>Gaudete</w:t>
      </w:r>
      <w:proofErr w:type="spellEnd"/>
      <w:r w:rsidRPr="00FB6005">
        <w:rPr>
          <w:rFonts w:ascii="Open Sans" w:eastAsia="Times New Roman" w:hAnsi="Open Sans" w:cs="Open Sans"/>
          <w:i/>
          <w:iCs/>
          <w:color w:val="474747"/>
          <w:kern w:val="0"/>
          <w:sz w:val="21"/>
          <w:szCs w:val="21"/>
          <w:lang w:val="es-UY" w:eastAsia="es-UY"/>
          <w14:ligatures w14:val="none"/>
        </w:rPr>
        <w:t xml:space="preserve"> et </w:t>
      </w:r>
      <w:proofErr w:type="spellStart"/>
      <w:r w:rsidRPr="00FB6005">
        <w:rPr>
          <w:rFonts w:ascii="Open Sans" w:eastAsia="Times New Roman" w:hAnsi="Open Sans" w:cs="Open Sans"/>
          <w:i/>
          <w:iCs/>
          <w:color w:val="474747"/>
          <w:kern w:val="0"/>
          <w:sz w:val="21"/>
          <w:szCs w:val="21"/>
          <w:lang w:val="es-UY" w:eastAsia="es-UY"/>
          <w14:ligatures w14:val="none"/>
        </w:rPr>
        <w:t>Exsultate</w:t>
      </w:r>
      <w:proofErr w:type="spellEnd"/>
      <w:r w:rsidRPr="00FB6005">
        <w:rPr>
          <w:rFonts w:ascii="Open Sans" w:eastAsia="Times New Roman" w:hAnsi="Open Sans" w:cs="Open Sans"/>
          <w:color w:val="333333"/>
          <w:kern w:val="0"/>
          <w:sz w:val="21"/>
          <w:szCs w:val="21"/>
          <w:lang w:val="es-UY" w:eastAsia="es-UY"/>
          <w14:ligatures w14:val="none"/>
        </w:rPr>
        <w:t> 170.</w:t>
      </w:r>
    </w:p>
    <w:p w14:paraId="7F0AA152"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4" w:anchor="_ftnref6" w:history="1">
        <w:r w:rsidRPr="00FB6005">
          <w:rPr>
            <w:rFonts w:ascii="Open Sans" w:eastAsia="Times New Roman" w:hAnsi="Open Sans" w:cs="Open Sans"/>
            <w:color w:val="D49400"/>
            <w:kern w:val="0"/>
            <w:sz w:val="21"/>
            <w:szCs w:val="21"/>
            <w:lang w:val="es-UY" w:eastAsia="es-UY"/>
            <w14:ligatures w14:val="none"/>
          </w:rPr>
          <w:t>[6]</w:t>
        </w:r>
      </w:hyperlink>
      <w:r w:rsidRPr="00FB6005">
        <w:rPr>
          <w:rFonts w:ascii="Open Sans" w:eastAsia="Times New Roman" w:hAnsi="Open Sans" w:cs="Open Sans"/>
          <w:color w:val="333333"/>
          <w:kern w:val="0"/>
          <w:sz w:val="21"/>
          <w:szCs w:val="21"/>
          <w:lang w:val="es-UY" w:eastAsia="es-UY"/>
          <w14:ligatures w14:val="none"/>
        </w:rPr>
        <w:t> Vives, Josep (1999). “Principio y Fundamento del discernimiento cristiano”, en Manresa, Vol. 71, p. 304.</w:t>
      </w:r>
    </w:p>
    <w:p w14:paraId="55DBC5CB"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5" w:anchor="_ftnref7" w:history="1">
        <w:r w:rsidRPr="00FB6005">
          <w:rPr>
            <w:rFonts w:ascii="Open Sans" w:eastAsia="Times New Roman" w:hAnsi="Open Sans" w:cs="Open Sans"/>
            <w:color w:val="D49400"/>
            <w:kern w:val="0"/>
            <w:sz w:val="21"/>
            <w:szCs w:val="21"/>
            <w:lang w:val="es-UY" w:eastAsia="es-UY"/>
            <w14:ligatures w14:val="none"/>
          </w:rPr>
          <w:t>[7]</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Mollà</w:t>
      </w:r>
      <w:proofErr w:type="spellEnd"/>
      <w:r w:rsidRPr="00FB6005">
        <w:rPr>
          <w:rFonts w:ascii="Open Sans" w:eastAsia="Times New Roman" w:hAnsi="Open Sans" w:cs="Open Sans"/>
          <w:color w:val="333333"/>
          <w:kern w:val="0"/>
          <w:sz w:val="21"/>
          <w:szCs w:val="21"/>
          <w:lang w:val="es-UY" w:eastAsia="es-UY"/>
          <w14:ligatures w14:val="none"/>
        </w:rPr>
        <w:t xml:space="preserve">, </w:t>
      </w:r>
      <w:proofErr w:type="spellStart"/>
      <w:r w:rsidRPr="00FB6005">
        <w:rPr>
          <w:rFonts w:ascii="Open Sans" w:eastAsia="Times New Roman" w:hAnsi="Open Sans" w:cs="Open Sans"/>
          <w:color w:val="333333"/>
          <w:kern w:val="0"/>
          <w:sz w:val="21"/>
          <w:szCs w:val="21"/>
          <w:lang w:val="es-UY" w:eastAsia="es-UY"/>
          <w14:ligatures w14:val="none"/>
        </w:rPr>
        <w:t>op</w:t>
      </w:r>
      <w:proofErr w:type="spellEnd"/>
      <w:r w:rsidRPr="00FB6005">
        <w:rPr>
          <w:rFonts w:ascii="Open Sans" w:eastAsia="Times New Roman" w:hAnsi="Open Sans" w:cs="Open Sans"/>
          <w:color w:val="333333"/>
          <w:kern w:val="0"/>
          <w:sz w:val="21"/>
          <w:szCs w:val="21"/>
          <w:lang w:val="es-UY" w:eastAsia="es-UY"/>
          <w14:ligatures w14:val="none"/>
        </w:rPr>
        <w:t>. cit., p.13,</w:t>
      </w:r>
    </w:p>
    <w:p w14:paraId="6B3FD216"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6" w:anchor="_ftnref8" w:history="1">
        <w:r w:rsidRPr="00FB6005">
          <w:rPr>
            <w:rFonts w:ascii="Open Sans" w:eastAsia="Times New Roman" w:hAnsi="Open Sans" w:cs="Open Sans"/>
            <w:color w:val="D49400"/>
            <w:kern w:val="0"/>
            <w:sz w:val="21"/>
            <w:szCs w:val="21"/>
            <w:lang w:val="es-UY" w:eastAsia="es-UY"/>
            <w14:ligatures w14:val="none"/>
          </w:rPr>
          <w:t>[8]</w:t>
        </w:r>
        <w:proofErr w:type="spellStart"/>
      </w:hyperlink>
      <w:r w:rsidRPr="00FB6005">
        <w:rPr>
          <w:rFonts w:ascii="Open Sans" w:eastAsia="Times New Roman" w:hAnsi="Open Sans" w:cs="Open Sans"/>
          <w:i/>
          <w:iCs/>
          <w:color w:val="474747"/>
          <w:kern w:val="0"/>
          <w:sz w:val="21"/>
          <w:szCs w:val="21"/>
          <w:lang w:val="es-UY" w:eastAsia="es-UY"/>
          <w14:ligatures w14:val="none"/>
        </w:rPr>
        <w:t>Ibíd</w:t>
      </w:r>
      <w:proofErr w:type="spellEnd"/>
      <w:r w:rsidRPr="00FB6005">
        <w:rPr>
          <w:rFonts w:ascii="Open Sans" w:eastAsia="Times New Roman" w:hAnsi="Open Sans" w:cs="Open Sans"/>
          <w:color w:val="333333"/>
          <w:kern w:val="0"/>
          <w:sz w:val="21"/>
          <w:szCs w:val="21"/>
          <w:lang w:val="es-UY" w:eastAsia="es-UY"/>
          <w14:ligatures w14:val="none"/>
        </w:rPr>
        <w:t>., p. 316.</w:t>
      </w:r>
    </w:p>
    <w:p w14:paraId="0A6B91E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7" w:anchor="_ftnref9" w:history="1">
        <w:r w:rsidRPr="00FB6005">
          <w:rPr>
            <w:rFonts w:ascii="Open Sans" w:eastAsia="Times New Roman" w:hAnsi="Open Sans" w:cs="Open Sans"/>
            <w:color w:val="D49400"/>
            <w:kern w:val="0"/>
            <w:sz w:val="21"/>
            <w:szCs w:val="21"/>
            <w:lang w:val="es-UY" w:eastAsia="es-UY"/>
            <w14:ligatures w14:val="none"/>
          </w:rPr>
          <w:t>[9]</w:t>
        </w:r>
        <w:proofErr w:type="spellStart"/>
      </w:hyperlink>
      <w:r w:rsidRPr="00FB6005">
        <w:rPr>
          <w:rFonts w:ascii="Open Sans" w:eastAsia="Times New Roman" w:hAnsi="Open Sans" w:cs="Open Sans"/>
          <w:i/>
          <w:iCs/>
          <w:color w:val="474747"/>
          <w:kern w:val="0"/>
          <w:sz w:val="21"/>
          <w:szCs w:val="21"/>
          <w:lang w:val="es-UY" w:eastAsia="es-UY"/>
          <w14:ligatures w14:val="none"/>
        </w:rPr>
        <w:t>Ibíd</w:t>
      </w:r>
      <w:proofErr w:type="spellEnd"/>
      <w:r w:rsidRPr="00FB6005">
        <w:rPr>
          <w:rFonts w:ascii="Open Sans" w:eastAsia="Times New Roman" w:hAnsi="Open Sans" w:cs="Open Sans"/>
          <w:color w:val="333333"/>
          <w:kern w:val="0"/>
          <w:sz w:val="21"/>
          <w:szCs w:val="21"/>
          <w:lang w:val="es-UY" w:eastAsia="es-UY"/>
          <w14:ligatures w14:val="none"/>
        </w:rPr>
        <w:t>., p. 317.</w:t>
      </w:r>
    </w:p>
    <w:p w14:paraId="5BC9F55B"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8" w:anchor="_ftnref10" w:history="1">
        <w:r w:rsidRPr="00FB6005">
          <w:rPr>
            <w:rFonts w:ascii="Open Sans" w:eastAsia="Times New Roman" w:hAnsi="Open Sans" w:cs="Open Sans"/>
            <w:color w:val="D49400"/>
            <w:kern w:val="0"/>
            <w:sz w:val="21"/>
            <w:szCs w:val="21"/>
            <w:lang w:val="es-UY" w:eastAsia="es-UY"/>
            <w14:ligatures w14:val="none"/>
          </w:rPr>
          <w:t>[10]</w:t>
        </w:r>
        <w:proofErr w:type="spellStart"/>
      </w:hyperlink>
      <w:r w:rsidRPr="00FB6005">
        <w:rPr>
          <w:rFonts w:ascii="Open Sans" w:eastAsia="Times New Roman" w:hAnsi="Open Sans" w:cs="Open Sans"/>
          <w:i/>
          <w:iCs/>
          <w:color w:val="474747"/>
          <w:kern w:val="0"/>
          <w:sz w:val="21"/>
          <w:szCs w:val="21"/>
          <w:lang w:val="es-UY" w:eastAsia="es-UY"/>
          <w14:ligatures w14:val="none"/>
        </w:rPr>
        <w:t>Tertio</w:t>
      </w:r>
      <w:proofErr w:type="spellEnd"/>
      <w:r w:rsidRPr="00FB6005">
        <w:rPr>
          <w:rFonts w:ascii="Open Sans" w:eastAsia="Times New Roman" w:hAnsi="Open Sans" w:cs="Open Sans"/>
          <w:i/>
          <w:iCs/>
          <w:color w:val="474747"/>
          <w:kern w:val="0"/>
          <w:sz w:val="21"/>
          <w:szCs w:val="21"/>
          <w:lang w:val="es-UY" w:eastAsia="es-UY"/>
          <w14:ligatures w14:val="none"/>
        </w:rPr>
        <w:t xml:space="preserve"> </w:t>
      </w:r>
      <w:proofErr w:type="spellStart"/>
      <w:r w:rsidRPr="00FB6005">
        <w:rPr>
          <w:rFonts w:ascii="Open Sans" w:eastAsia="Times New Roman" w:hAnsi="Open Sans" w:cs="Open Sans"/>
          <w:i/>
          <w:iCs/>
          <w:color w:val="474747"/>
          <w:kern w:val="0"/>
          <w:sz w:val="21"/>
          <w:szCs w:val="21"/>
          <w:lang w:val="es-UY" w:eastAsia="es-UY"/>
          <w14:ligatures w14:val="none"/>
        </w:rPr>
        <w:t>millennio</w:t>
      </w:r>
      <w:proofErr w:type="spellEnd"/>
      <w:r w:rsidRPr="00FB6005">
        <w:rPr>
          <w:rFonts w:ascii="Open Sans" w:eastAsia="Times New Roman" w:hAnsi="Open Sans" w:cs="Open Sans"/>
          <w:i/>
          <w:iCs/>
          <w:color w:val="474747"/>
          <w:kern w:val="0"/>
          <w:sz w:val="21"/>
          <w:szCs w:val="21"/>
          <w:lang w:val="es-UY" w:eastAsia="es-UY"/>
          <w14:ligatures w14:val="none"/>
        </w:rPr>
        <w:t xml:space="preserve"> </w:t>
      </w:r>
      <w:proofErr w:type="spellStart"/>
      <w:r w:rsidRPr="00FB6005">
        <w:rPr>
          <w:rFonts w:ascii="Open Sans" w:eastAsia="Times New Roman" w:hAnsi="Open Sans" w:cs="Open Sans"/>
          <w:i/>
          <w:iCs/>
          <w:color w:val="474747"/>
          <w:kern w:val="0"/>
          <w:sz w:val="21"/>
          <w:szCs w:val="21"/>
          <w:lang w:val="es-UY" w:eastAsia="es-UY"/>
          <w14:ligatures w14:val="none"/>
        </w:rPr>
        <w:t>adveniente</w:t>
      </w:r>
      <w:proofErr w:type="spellEnd"/>
      <w:r w:rsidRPr="00FB6005">
        <w:rPr>
          <w:rFonts w:ascii="Open Sans" w:eastAsia="Times New Roman" w:hAnsi="Open Sans" w:cs="Open Sans"/>
          <w:color w:val="333333"/>
          <w:kern w:val="0"/>
          <w:sz w:val="21"/>
          <w:szCs w:val="21"/>
          <w:lang w:val="es-UY" w:eastAsia="es-UY"/>
          <w14:ligatures w14:val="none"/>
        </w:rPr>
        <w:t> 36.</w:t>
      </w:r>
    </w:p>
    <w:p w14:paraId="6DD6901A"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49" w:anchor="_ftnref11" w:history="1">
        <w:r w:rsidRPr="00FB6005">
          <w:rPr>
            <w:rFonts w:ascii="Open Sans" w:eastAsia="Times New Roman" w:hAnsi="Open Sans" w:cs="Open Sans"/>
            <w:color w:val="D49400"/>
            <w:kern w:val="0"/>
            <w:sz w:val="21"/>
            <w:szCs w:val="21"/>
            <w:lang w:val="es-UY" w:eastAsia="es-UY"/>
            <w14:ligatures w14:val="none"/>
          </w:rPr>
          <w:t>[11]</w:t>
        </w:r>
      </w:hyperlink>
      <w:r w:rsidRPr="00FB6005">
        <w:rPr>
          <w:rFonts w:ascii="Open Sans" w:eastAsia="Times New Roman" w:hAnsi="Open Sans" w:cs="Open Sans"/>
          <w:color w:val="333333"/>
          <w:kern w:val="0"/>
          <w:sz w:val="21"/>
          <w:szCs w:val="21"/>
          <w:lang w:val="es-UY" w:eastAsia="es-UY"/>
          <w14:ligatures w14:val="none"/>
        </w:rPr>
        <w:t> González Buelta, Benjamín (2020). </w:t>
      </w:r>
      <w:r w:rsidRPr="00FB6005">
        <w:rPr>
          <w:rFonts w:ascii="Open Sans" w:eastAsia="Times New Roman" w:hAnsi="Open Sans" w:cs="Open Sans"/>
          <w:i/>
          <w:iCs/>
          <w:color w:val="474747"/>
          <w:kern w:val="0"/>
          <w:sz w:val="21"/>
          <w:szCs w:val="21"/>
          <w:lang w:val="es-UY" w:eastAsia="es-UY"/>
          <w14:ligatures w14:val="none"/>
        </w:rPr>
        <w:t>El discernimiento. La novedad del Espíritu y la astucia de la carcoma</w:t>
      </w:r>
      <w:r w:rsidRPr="00FB6005">
        <w:rPr>
          <w:rFonts w:ascii="Open Sans" w:eastAsia="Times New Roman" w:hAnsi="Open Sans" w:cs="Open Sans"/>
          <w:color w:val="333333"/>
          <w:kern w:val="0"/>
          <w:sz w:val="21"/>
          <w:szCs w:val="21"/>
          <w:lang w:val="es-UY" w:eastAsia="es-UY"/>
          <w14:ligatures w14:val="none"/>
        </w:rPr>
        <w:t xml:space="preserve">, Maliaño, Sal </w:t>
      </w:r>
      <w:proofErr w:type="spellStart"/>
      <w:r w:rsidRPr="00FB6005">
        <w:rPr>
          <w:rFonts w:ascii="Open Sans" w:eastAsia="Times New Roman" w:hAnsi="Open Sans" w:cs="Open Sans"/>
          <w:color w:val="333333"/>
          <w:kern w:val="0"/>
          <w:sz w:val="21"/>
          <w:szCs w:val="21"/>
          <w:lang w:val="es-UY" w:eastAsia="es-UY"/>
          <w14:ligatures w14:val="none"/>
        </w:rPr>
        <w:t>Terrae</w:t>
      </w:r>
      <w:proofErr w:type="spellEnd"/>
      <w:r w:rsidRPr="00FB6005">
        <w:rPr>
          <w:rFonts w:ascii="Open Sans" w:eastAsia="Times New Roman" w:hAnsi="Open Sans" w:cs="Open Sans"/>
          <w:color w:val="333333"/>
          <w:kern w:val="0"/>
          <w:sz w:val="21"/>
          <w:szCs w:val="21"/>
          <w:lang w:val="es-UY" w:eastAsia="es-UY"/>
          <w14:ligatures w14:val="none"/>
        </w:rPr>
        <w:t>, pp. 16-17.</w:t>
      </w:r>
    </w:p>
    <w:p w14:paraId="5B6332C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0" w:anchor="_ftnref12" w:history="1">
        <w:r w:rsidRPr="00FB6005">
          <w:rPr>
            <w:rFonts w:ascii="Open Sans" w:eastAsia="Times New Roman" w:hAnsi="Open Sans" w:cs="Open Sans"/>
            <w:color w:val="D49400"/>
            <w:kern w:val="0"/>
            <w:sz w:val="21"/>
            <w:szCs w:val="21"/>
            <w:lang w:val="es-UY" w:eastAsia="es-UY"/>
            <w14:ligatures w14:val="none"/>
          </w:rPr>
          <w:t>[12]</w:t>
        </w:r>
        <w:proofErr w:type="spellStart"/>
      </w:hyperlink>
      <w:r w:rsidRPr="00FB6005">
        <w:rPr>
          <w:rFonts w:ascii="Open Sans" w:eastAsia="Times New Roman" w:hAnsi="Open Sans" w:cs="Open Sans"/>
          <w:i/>
          <w:iCs/>
          <w:color w:val="474747"/>
          <w:kern w:val="0"/>
          <w:sz w:val="21"/>
          <w:szCs w:val="21"/>
          <w:lang w:val="es-UY" w:eastAsia="es-UY"/>
          <w14:ligatures w14:val="none"/>
        </w:rPr>
        <w:t>Gaudete</w:t>
      </w:r>
      <w:proofErr w:type="spellEnd"/>
      <w:r w:rsidRPr="00FB6005">
        <w:rPr>
          <w:rFonts w:ascii="Open Sans" w:eastAsia="Times New Roman" w:hAnsi="Open Sans" w:cs="Open Sans"/>
          <w:i/>
          <w:iCs/>
          <w:color w:val="474747"/>
          <w:kern w:val="0"/>
          <w:sz w:val="21"/>
          <w:szCs w:val="21"/>
          <w:lang w:val="es-UY" w:eastAsia="es-UY"/>
          <w14:ligatures w14:val="none"/>
        </w:rPr>
        <w:t xml:space="preserve"> et </w:t>
      </w:r>
      <w:proofErr w:type="spellStart"/>
      <w:r w:rsidRPr="00FB6005">
        <w:rPr>
          <w:rFonts w:ascii="Open Sans" w:eastAsia="Times New Roman" w:hAnsi="Open Sans" w:cs="Open Sans"/>
          <w:i/>
          <w:iCs/>
          <w:color w:val="474747"/>
          <w:kern w:val="0"/>
          <w:sz w:val="21"/>
          <w:szCs w:val="21"/>
          <w:lang w:val="es-UY" w:eastAsia="es-UY"/>
          <w14:ligatures w14:val="none"/>
        </w:rPr>
        <w:t>Exsultate</w:t>
      </w:r>
      <w:proofErr w:type="spellEnd"/>
      <w:r w:rsidRPr="00FB6005">
        <w:rPr>
          <w:rFonts w:ascii="Open Sans" w:eastAsia="Times New Roman" w:hAnsi="Open Sans" w:cs="Open Sans"/>
          <w:color w:val="333333"/>
          <w:kern w:val="0"/>
          <w:sz w:val="21"/>
          <w:szCs w:val="21"/>
          <w:lang w:val="es-UY" w:eastAsia="es-UY"/>
          <w14:ligatures w14:val="none"/>
        </w:rPr>
        <w:t> 170.</w:t>
      </w:r>
    </w:p>
    <w:p w14:paraId="07A0B7F8"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1" w:anchor="_ftnref13" w:history="1">
        <w:r w:rsidRPr="00FB6005">
          <w:rPr>
            <w:rFonts w:ascii="Open Sans" w:eastAsia="Times New Roman" w:hAnsi="Open Sans" w:cs="Open Sans"/>
            <w:color w:val="D49400"/>
            <w:kern w:val="0"/>
            <w:sz w:val="21"/>
            <w:szCs w:val="21"/>
            <w:lang w:val="es-UY" w:eastAsia="es-UY"/>
            <w14:ligatures w14:val="none"/>
          </w:rPr>
          <w:t>[13]</w:t>
        </w:r>
      </w:hyperlink>
      <w:r w:rsidRPr="00FB6005">
        <w:rPr>
          <w:rFonts w:ascii="Open Sans" w:eastAsia="Times New Roman" w:hAnsi="Open Sans" w:cs="Open Sans"/>
          <w:color w:val="333333"/>
          <w:kern w:val="0"/>
          <w:sz w:val="21"/>
          <w:szCs w:val="21"/>
          <w:lang w:val="es-UY" w:eastAsia="es-UY"/>
          <w14:ligatures w14:val="none"/>
        </w:rPr>
        <w:t xml:space="preserve"> González Buelta, </w:t>
      </w:r>
      <w:proofErr w:type="spellStart"/>
      <w:r w:rsidRPr="00FB6005">
        <w:rPr>
          <w:rFonts w:ascii="Open Sans" w:eastAsia="Times New Roman" w:hAnsi="Open Sans" w:cs="Open Sans"/>
          <w:color w:val="333333"/>
          <w:kern w:val="0"/>
          <w:sz w:val="21"/>
          <w:szCs w:val="21"/>
          <w:lang w:val="es-UY" w:eastAsia="es-UY"/>
          <w14:ligatures w14:val="none"/>
        </w:rPr>
        <w:t>op</w:t>
      </w:r>
      <w:proofErr w:type="spellEnd"/>
      <w:r w:rsidRPr="00FB6005">
        <w:rPr>
          <w:rFonts w:ascii="Open Sans" w:eastAsia="Times New Roman" w:hAnsi="Open Sans" w:cs="Open Sans"/>
          <w:color w:val="333333"/>
          <w:kern w:val="0"/>
          <w:sz w:val="21"/>
          <w:szCs w:val="21"/>
          <w:lang w:val="es-UY" w:eastAsia="es-UY"/>
          <w14:ligatures w14:val="none"/>
        </w:rPr>
        <w:t>. cit., p. 17.</w:t>
      </w:r>
    </w:p>
    <w:p w14:paraId="3BBE623C"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2" w:anchor="_ftnref14" w:history="1">
        <w:r w:rsidRPr="00FB6005">
          <w:rPr>
            <w:rFonts w:ascii="Open Sans" w:eastAsia="Times New Roman" w:hAnsi="Open Sans" w:cs="Open Sans"/>
            <w:color w:val="D49400"/>
            <w:kern w:val="0"/>
            <w:sz w:val="21"/>
            <w:szCs w:val="21"/>
            <w:lang w:val="es-UY" w:eastAsia="es-UY"/>
            <w14:ligatures w14:val="none"/>
          </w:rPr>
          <w:t>[14]</w:t>
        </w:r>
      </w:hyperlink>
      <w:r w:rsidRPr="00FB6005">
        <w:rPr>
          <w:rFonts w:ascii="Open Sans" w:eastAsia="Times New Roman" w:hAnsi="Open Sans" w:cs="Open Sans"/>
          <w:color w:val="333333"/>
          <w:kern w:val="0"/>
          <w:sz w:val="21"/>
          <w:szCs w:val="21"/>
          <w:lang w:val="es-UY" w:eastAsia="es-UY"/>
          <w14:ligatures w14:val="none"/>
        </w:rPr>
        <w:t> GE170.</w:t>
      </w:r>
    </w:p>
    <w:p w14:paraId="11CB7A08"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3" w:anchor="_ftnref15" w:history="1">
        <w:r w:rsidRPr="00FB6005">
          <w:rPr>
            <w:rFonts w:ascii="Open Sans" w:eastAsia="Times New Roman" w:hAnsi="Open Sans" w:cs="Open Sans"/>
            <w:color w:val="D49400"/>
            <w:kern w:val="0"/>
            <w:sz w:val="21"/>
            <w:szCs w:val="21"/>
            <w:lang w:val="es-UY" w:eastAsia="es-UY"/>
            <w14:ligatures w14:val="none"/>
          </w:rPr>
          <w:t>[15]</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Libânio</w:t>
      </w:r>
      <w:proofErr w:type="spellEnd"/>
      <w:r w:rsidRPr="00FB6005">
        <w:rPr>
          <w:rFonts w:ascii="Open Sans" w:eastAsia="Times New Roman" w:hAnsi="Open Sans" w:cs="Open Sans"/>
          <w:color w:val="333333"/>
          <w:kern w:val="0"/>
          <w:sz w:val="21"/>
          <w:szCs w:val="21"/>
          <w:lang w:val="es-UY" w:eastAsia="es-UY"/>
          <w14:ligatures w14:val="none"/>
        </w:rPr>
        <w:t>, Juan B. (s/f). </w:t>
      </w:r>
      <w:r w:rsidRPr="00FB6005">
        <w:rPr>
          <w:rFonts w:ascii="Open Sans" w:eastAsia="Times New Roman" w:hAnsi="Open Sans" w:cs="Open Sans"/>
          <w:i/>
          <w:iCs/>
          <w:color w:val="474747"/>
          <w:kern w:val="0"/>
          <w:sz w:val="21"/>
          <w:szCs w:val="21"/>
          <w:lang w:val="es-UY" w:eastAsia="es-UY"/>
          <w14:ligatures w14:val="none"/>
        </w:rPr>
        <w:t>Discernimiento y mediaciones sociopolíticas</w:t>
      </w:r>
      <w:r w:rsidRPr="00FB6005">
        <w:rPr>
          <w:rFonts w:ascii="Open Sans" w:eastAsia="Times New Roman" w:hAnsi="Open Sans" w:cs="Open Sans"/>
          <w:color w:val="333333"/>
          <w:kern w:val="0"/>
          <w:sz w:val="21"/>
          <w:szCs w:val="21"/>
          <w:lang w:val="es-UY" w:eastAsia="es-UY"/>
          <w14:ligatures w14:val="none"/>
        </w:rPr>
        <w:t xml:space="preserve">,  </w:t>
      </w:r>
      <w:proofErr w:type="spellStart"/>
      <w:r w:rsidRPr="00FB6005">
        <w:rPr>
          <w:rFonts w:ascii="Open Sans" w:eastAsia="Times New Roman" w:hAnsi="Open Sans" w:cs="Open Sans"/>
          <w:color w:val="333333"/>
          <w:kern w:val="0"/>
          <w:sz w:val="21"/>
          <w:szCs w:val="21"/>
          <w:lang w:val="es-UY" w:eastAsia="es-UY"/>
          <w14:ligatures w14:val="none"/>
        </w:rPr>
        <w:t>Cristianisme</w:t>
      </w:r>
      <w:proofErr w:type="spellEnd"/>
      <w:r w:rsidRPr="00FB6005">
        <w:rPr>
          <w:rFonts w:ascii="Open Sans" w:eastAsia="Times New Roman" w:hAnsi="Open Sans" w:cs="Open Sans"/>
          <w:color w:val="333333"/>
          <w:kern w:val="0"/>
          <w:sz w:val="21"/>
          <w:szCs w:val="21"/>
          <w:lang w:val="es-UY" w:eastAsia="es-UY"/>
          <w14:ligatures w14:val="none"/>
        </w:rPr>
        <w:t xml:space="preserve"> i </w:t>
      </w:r>
      <w:proofErr w:type="spellStart"/>
      <w:r w:rsidRPr="00FB6005">
        <w:rPr>
          <w:rFonts w:ascii="Open Sans" w:eastAsia="Times New Roman" w:hAnsi="Open Sans" w:cs="Open Sans"/>
          <w:color w:val="333333"/>
          <w:kern w:val="0"/>
          <w:sz w:val="21"/>
          <w:szCs w:val="21"/>
          <w:lang w:val="es-UY" w:eastAsia="es-UY"/>
          <w14:ligatures w14:val="none"/>
        </w:rPr>
        <w:t>Justícia</w:t>
      </w:r>
      <w:proofErr w:type="spellEnd"/>
      <w:r w:rsidRPr="00FB6005">
        <w:rPr>
          <w:rFonts w:ascii="Open Sans" w:eastAsia="Times New Roman" w:hAnsi="Open Sans" w:cs="Open Sans"/>
          <w:color w:val="333333"/>
          <w:kern w:val="0"/>
          <w:sz w:val="21"/>
          <w:szCs w:val="21"/>
          <w:lang w:val="es-UY" w:eastAsia="es-UY"/>
          <w14:ligatures w14:val="none"/>
        </w:rPr>
        <w:t>, p. 4-5.</w:t>
      </w:r>
    </w:p>
    <w:p w14:paraId="46153D67"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4" w:anchor="_ftnref16" w:history="1">
        <w:r w:rsidRPr="00FB6005">
          <w:rPr>
            <w:rFonts w:ascii="Open Sans" w:eastAsia="Times New Roman" w:hAnsi="Open Sans" w:cs="Open Sans"/>
            <w:color w:val="D49400"/>
            <w:kern w:val="0"/>
            <w:sz w:val="21"/>
            <w:szCs w:val="21"/>
            <w:lang w:val="es-UY" w:eastAsia="es-UY"/>
            <w14:ligatures w14:val="none"/>
          </w:rPr>
          <w:t>[16]</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Cantalamesa</w:t>
      </w:r>
      <w:proofErr w:type="spellEnd"/>
      <w:r w:rsidRPr="00FB6005">
        <w:rPr>
          <w:rFonts w:ascii="Open Sans" w:eastAsia="Times New Roman" w:hAnsi="Open Sans" w:cs="Open Sans"/>
          <w:color w:val="333333"/>
          <w:kern w:val="0"/>
          <w:sz w:val="21"/>
          <w:szCs w:val="21"/>
          <w:lang w:val="es-UY" w:eastAsia="es-UY"/>
          <w14:ligatures w14:val="none"/>
        </w:rPr>
        <w:t>, Raniero (2022). “La puerta de la caridad”, tercera predicación de Aviento. </w:t>
      </w:r>
      <w:hyperlink r:id="rId55" w:history="1">
        <w:r w:rsidRPr="00FB6005">
          <w:rPr>
            <w:rFonts w:ascii="Open Sans" w:eastAsia="Times New Roman" w:hAnsi="Open Sans" w:cs="Open Sans"/>
            <w:color w:val="0000FF"/>
            <w:kern w:val="0"/>
            <w:sz w:val="21"/>
            <w:szCs w:val="21"/>
            <w:u w:val="single"/>
            <w:lang w:val="es-UY" w:eastAsia="es-UY"/>
            <w14:ligatures w14:val="none"/>
          </w:rPr>
          <w:t>http://www.cantalamessa.org/?p=4052&amp;lang=es</w:t>
        </w:r>
      </w:hyperlink>
    </w:p>
    <w:p w14:paraId="37E1709C"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6" w:anchor="_ftnref17" w:history="1">
        <w:r w:rsidRPr="00FB6005">
          <w:rPr>
            <w:rFonts w:ascii="Open Sans" w:eastAsia="Times New Roman" w:hAnsi="Open Sans" w:cs="Open Sans"/>
            <w:color w:val="D49400"/>
            <w:kern w:val="0"/>
            <w:sz w:val="21"/>
            <w:szCs w:val="21"/>
            <w:lang w:val="es-UY" w:eastAsia="es-UY"/>
            <w14:ligatures w14:val="none"/>
          </w:rPr>
          <w:t>[17]</w:t>
        </w:r>
      </w:hyperlink>
      <w:r w:rsidRPr="00FB6005">
        <w:rPr>
          <w:rFonts w:ascii="Open Sans" w:eastAsia="Times New Roman" w:hAnsi="Open Sans" w:cs="Open Sans"/>
          <w:color w:val="333333"/>
          <w:kern w:val="0"/>
          <w:sz w:val="21"/>
          <w:szCs w:val="21"/>
          <w:lang w:val="es-UY" w:eastAsia="es-UY"/>
          <w14:ligatures w14:val="none"/>
        </w:rPr>
        <w:t> Bergoglio, Jorge M. – Papa Francisco  (2014) [1982]: </w:t>
      </w:r>
      <w:r w:rsidRPr="00FB6005">
        <w:rPr>
          <w:rFonts w:ascii="Open Sans" w:eastAsia="Times New Roman" w:hAnsi="Open Sans" w:cs="Open Sans"/>
          <w:i/>
          <w:iCs/>
          <w:color w:val="474747"/>
          <w:kern w:val="0"/>
          <w:sz w:val="21"/>
          <w:szCs w:val="21"/>
          <w:lang w:val="es-UY" w:eastAsia="es-UY"/>
          <w14:ligatures w14:val="none"/>
        </w:rPr>
        <w:t>Meditaciones para religiosos</w:t>
      </w:r>
      <w:r w:rsidRPr="00FB6005">
        <w:rPr>
          <w:rFonts w:ascii="Open Sans" w:eastAsia="Times New Roman" w:hAnsi="Open Sans" w:cs="Open Sans"/>
          <w:color w:val="333333"/>
          <w:kern w:val="0"/>
          <w:sz w:val="21"/>
          <w:szCs w:val="21"/>
          <w:lang w:val="es-UY" w:eastAsia="es-UY"/>
          <w14:ligatures w14:val="none"/>
        </w:rPr>
        <w:t>. Bilbao: Ed. Mensajero</w:t>
      </w:r>
      <w:r w:rsidRPr="00FB6005">
        <w:rPr>
          <w:rFonts w:ascii="Open Sans" w:eastAsia="Times New Roman" w:hAnsi="Open Sans" w:cs="Open Sans"/>
          <w:i/>
          <w:iCs/>
          <w:color w:val="474747"/>
          <w:kern w:val="0"/>
          <w:sz w:val="21"/>
          <w:szCs w:val="21"/>
          <w:lang w:val="es-UY" w:eastAsia="es-UY"/>
          <w14:ligatures w14:val="none"/>
        </w:rPr>
        <w:t>, p.</w:t>
      </w:r>
      <w:r w:rsidRPr="00FB6005">
        <w:rPr>
          <w:rFonts w:ascii="Open Sans" w:eastAsia="Times New Roman" w:hAnsi="Open Sans" w:cs="Open Sans"/>
          <w:color w:val="333333"/>
          <w:kern w:val="0"/>
          <w:sz w:val="21"/>
          <w:szCs w:val="21"/>
          <w:lang w:val="es-UY" w:eastAsia="es-UY"/>
          <w14:ligatures w14:val="none"/>
        </w:rPr>
        <w:t> 166.</w:t>
      </w:r>
    </w:p>
    <w:p w14:paraId="5EA9E27E"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7" w:anchor="_ftnref18" w:history="1">
        <w:r w:rsidRPr="00FB6005">
          <w:rPr>
            <w:rFonts w:ascii="Open Sans" w:eastAsia="Times New Roman" w:hAnsi="Open Sans" w:cs="Open Sans"/>
            <w:color w:val="D49400"/>
            <w:kern w:val="0"/>
            <w:sz w:val="21"/>
            <w:szCs w:val="21"/>
            <w:lang w:val="es-UY" w:eastAsia="es-UY"/>
            <w14:ligatures w14:val="none"/>
          </w:rPr>
          <w:t>[18]</w:t>
        </w:r>
      </w:hyperlink>
      <w:r w:rsidRPr="00FB6005">
        <w:rPr>
          <w:rFonts w:ascii="Open Sans" w:eastAsia="Times New Roman" w:hAnsi="Open Sans" w:cs="Open Sans"/>
          <w:color w:val="333333"/>
          <w:kern w:val="0"/>
          <w:sz w:val="21"/>
          <w:szCs w:val="21"/>
          <w:lang w:val="es-UY" w:eastAsia="es-UY"/>
          <w14:ligatures w14:val="none"/>
        </w:rPr>
        <w:t> LS 16 y 231.</w:t>
      </w:r>
    </w:p>
    <w:p w14:paraId="3662E31A"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8" w:anchor="_ftnref19" w:history="1">
        <w:r w:rsidRPr="00FB6005">
          <w:rPr>
            <w:rFonts w:ascii="Open Sans" w:eastAsia="Times New Roman" w:hAnsi="Open Sans" w:cs="Open Sans"/>
            <w:color w:val="D49400"/>
            <w:kern w:val="0"/>
            <w:sz w:val="21"/>
            <w:szCs w:val="21"/>
            <w:lang w:val="es-UY" w:eastAsia="es-UY"/>
            <w14:ligatures w14:val="none"/>
          </w:rPr>
          <w:t>[19]</w:t>
        </w:r>
      </w:hyperlink>
      <w:r w:rsidRPr="00FB6005">
        <w:rPr>
          <w:rFonts w:ascii="Open Sans" w:eastAsia="Times New Roman" w:hAnsi="Open Sans" w:cs="Open Sans"/>
          <w:color w:val="333333"/>
          <w:kern w:val="0"/>
          <w:sz w:val="21"/>
          <w:szCs w:val="21"/>
          <w:lang w:val="es-UY" w:eastAsia="es-UY"/>
          <w14:ligatures w14:val="none"/>
        </w:rPr>
        <w:t> FT Capítulo 2.</w:t>
      </w:r>
    </w:p>
    <w:p w14:paraId="0AAF226F"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59" w:anchor="_ftnref20" w:history="1">
        <w:r w:rsidRPr="00FB6005">
          <w:rPr>
            <w:rFonts w:ascii="Open Sans" w:eastAsia="Times New Roman" w:hAnsi="Open Sans" w:cs="Open Sans"/>
            <w:color w:val="D49400"/>
            <w:kern w:val="0"/>
            <w:sz w:val="21"/>
            <w:szCs w:val="21"/>
            <w:lang w:val="es-UY" w:eastAsia="es-UY"/>
            <w14:ligatures w14:val="none"/>
          </w:rPr>
          <w:t>[20]</w:t>
        </w:r>
      </w:hyperlink>
      <w:r w:rsidRPr="00FB6005">
        <w:rPr>
          <w:rFonts w:ascii="Open Sans" w:eastAsia="Times New Roman" w:hAnsi="Open Sans" w:cs="Open Sans"/>
          <w:color w:val="333333"/>
          <w:kern w:val="0"/>
          <w:sz w:val="21"/>
          <w:szCs w:val="21"/>
          <w:lang w:val="es-UY" w:eastAsia="es-UY"/>
          <w14:ligatures w14:val="none"/>
        </w:rPr>
        <w:t xml:space="preserve"> Francisco, Papa, </w:t>
      </w:r>
      <w:proofErr w:type="spellStart"/>
      <w:r w:rsidRPr="00FB6005">
        <w:rPr>
          <w:rFonts w:ascii="Open Sans" w:eastAsia="Times New Roman" w:hAnsi="Open Sans" w:cs="Open Sans"/>
          <w:color w:val="333333"/>
          <w:kern w:val="0"/>
          <w:sz w:val="21"/>
          <w:szCs w:val="21"/>
          <w:lang w:val="es-UY" w:eastAsia="es-UY"/>
          <w14:ligatures w14:val="none"/>
        </w:rPr>
        <w:t>Videomensaje</w:t>
      </w:r>
      <w:proofErr w:type="spellEnd"/>
      <w:r w:rsidRPr="00FB6005">
        <w:rPr>
          <w:rFonts w:ascii="Open Sans" w:eastAsia="Times New Roman" w:hAnsi="Open Sans" w:cs="Open Sans"/>
          <w:color w:val="333333"/>
          <w:kern w:val="0"/>
          <w:sz w:val="21"/>
          <w:szCs w:val="21"/>
          <w:lang w:val="es-UY" w:eastAsia="es-UY"/>
          <w14:ligatures w14:val="none"/>
        </w:rPr>
        <w:t xml:space="preserve"> a los movimientos populares, 16/10/2021.</w:t>
      </w:r>
    </w:p>
    <w:p w14:paraId="7BC8A276"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0" w:anchor="_ftnref21" w:history="1">
        <w:r w:rsidRPr="00FB6005">
          <w:rPr>
            <w:rFonts w:ascii="Open Sans" w:eastAsia="Times New Roman" w:hAnsi="Open Sans" w:cs="Open Sans"/>
            <w:color w:val="D49400"/>
            <w:kern w:val="0"/>
            <w:sz w:val="21"/>
            <w:szCs w:val="21"/>
            <w:lang w:val="es-UY" w:eastAsia="es-UY"/>
            <w14:ligatures w14:val="none"/>
          </w:rPr>
          <w:t>[21]</w:t>
        </w:r>
      </w:hyperlink>
      <w:r w:rsidRPr="00FB6005">
        <w:rPr>
          <w:rFonts w:ascii="Open Sans" w:eastAsia="Times New Roman" w:hAnsi="Open Sans" w:cs="Open Sans"/>
          <w:color w:val="333333"/>
          <w:kern w:val="0"/>
          <w:sz w:val="21"/>
          <w:szCs w:val="21"/>
          <w:lang w:val="es-UY" w:eastAsia="es-UY"/>
          <w14:ligatures w14:val="none"/>
        </w:rPr>
        <w:t> Francisco, Papa (2020). </w:t>
      </w:r>
      <w:r w:rsidRPr="00FB6005">
        <w:rPr>
          <w:rFonts w:ascii="Open Sans" w:eastAsia="Times New Roman" w:hAnsi="Open Sans" w:cs="Open Sans"/>
          <w:i/>
          <w:iCs/>
          <w:color w:val="474747"/>
          <w:kern w:val="0"/>
          <w:sz w:val="21"/>
          <w:szCs w:val="21"/>
          <w:lang w:val="es-UY" w:eastAsia="es-UY"/>
          <w14:ligatures w14:val="none"/>
        </w:rPr>
        <w:t>Soñemos juntos. El camino a un futuro mejor</w:t>
      </w:r>
      <w:r w:rsidRPr="00FB6005">
        <w:rPr>
          <w:rFonts w:ascii="Open Sans" w:eastAsia="Times New Roman" w:hAnsi="Open Sans" w:cs="Open Sans"/>
          <w:color w:val="333333"/>
          <w:kern w:val="0"/>
          <w:sz w:val="21"/>
          <w:szCs w:val="21"/>
          <w:lang w:val="es-UY" w:eastAsia="es-UY"/>
          <w14:ligatures w14:val="none"/>
        </w:rPr>
        <w:t>, Plaza &amp; Janés, p. 125.</w:t>
      </w:r>
    </w:p>
    <w:p w14:paraId="5B0D742A"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1" w:anchor="_ftnref22" w:history="1">
        <w:r w:rsidRPr="00FB6005">
          <w:rPr>
            <w:rFonts w:ascii="Open Sans" w:eastAsia="Times New Roman" w:hAnsi="Open Sans" w:cs="Open Sans"/>
            <w:color w:val="D49400"/>
            <w:kern w:val="0"/>
            <w:sz w:val="21"/>
            <w:szCs w:val="21"/>
            <w:lang w:val="es-UY" w:eastAsia="es-UY"/>
            <w14:ligatures w14:val="none"/>
          </w:rPr>
          <w:t>[22]</w:t>
        </w:r>
      </w:hyperlink>
      <w:r w:rsidRPr="00FB6005">
        <w:rPr>
          <w:rFonts w:ascii="Open Sans" w:eastAsia="Times New Roman" w:hAnsi="Open Sans" w:cs="Open Sans"/>
          <w:color w:val="333333"/>
          <w:kern w:val="0"/>
          <w:sz w:val="21"/>
          <w:szCs w:val="21"/>
          <w:lang w:val="es-UY" w:eastAsia="es-UY"/>
          <w14:ligatures w14:val="none"/>
        </w:rPr>
        <w:t> </w:t>
      </w:r>
      <w:proofErr w:type="spellStart"/>
      <w:r w:rsidRPr="00FB6005">
        <w:rPr>
          <w:rFonts w:ascii="Open Sans" w:eastAsia="Times New Roman" w:hAnsi="Open Sans" w:cs="Open Sans"/>
          <w:color w:val="333333"/>
          <w:kern w:val="0"/>
          <w:sz w:val="21"/>
          <w:szCs w:val="21"/>
          <w:lang w:val="es-UY" w:eastAsia="es-UY"/>
          <w14:ligatures w14:val="none"/>
        </w:rPr>
        <w:t>Cuda</w:t>
      </w:r>
      <w:proofErr w:type="spellEnd"/>
      <w:r w:rsidRPr="00FB6005">
        <w:rPr>
          <w:rFonts w:ascii="Open Sans" w:eastAsia="Times New Roman" w:hAnsi="Open Sans" w:cs="Open Sans"/>
          <w:color w:val="333333"/>
          <w:kern w:val="0"/>
          <w:sz w:val="21"/>
          <w:szCs w:val="21"/>
          <w:lang w:val="es-UY" w:eastAsia="es-UY"/>
          <w14:ligatures w14:val="none"/>
        </w:rPr>
        <w:t xml:space="preserve">, Emilce (2020). “Lo político según Francisco: emoción hecha acción comunitaria. Una lectura ética social desde </w:t>
      </w:r>
      <w:proofErr w:type="spellStart"/>
      <w:r w:rsidRPr="00FB6005">
        <w:rPr>
          <w:rFonts w:ascii="Open Sans" w:eastAsia="Times New Roman" w:hAnsi="Open Sans" w:cs="Open Sans"/>
          <w:color w:val="333333"/>
          <w:kern w:val="0"/>
          <w:sz w:val="21"/>
          <w:szCs w:val="21"/>
          <w:lang w:val="es-UY" w:eastAsia="es-UY"/>
          <w14:ligatures w14:val="none"/>
        </w:rPr>
        <w:t>Scannone</w:t>
      </w:r>
      <w:proofErr w:type="spellEnd"/>
      <w:r w:rsidRPr="00FB6005">
        <w:rPr>
          <w:rFonts w:ascii="Open Sans" w:eastAsia="Times New Roman" w:hAnsi="Open Sans" w:cs="Open Sans"/>
          <w:color w:val="333333"/>
          <w:kern w:val="0"/>
          <w:sz w:val="21"/>
          <w:szCs w:val="21"/>
          <w:lang w:val="es-UY" w:eastAsia="es-UY"/>
          <w14:ligatures w14:val="none"/>
        </w:rPr>
        <w:t>”, en </w:t>
      </w:r>
      <w:r w:rsidRPr="00FB6005">
        <w:rPr>
          <w:rFonts w:ascii="Open Sans" w:eastAsia="Times New Roman" w:hAnsi="Open Sans" w:cs="Open Sans"/>
          <w:i/>
          <w:iCs/>
          <w:color w:val="474747"/>
          <w:kern w:val="0"/>
          <w:sz w:val="21"/>
          <w:szCs w:val="21"/>
          <w:lang w:val="es-UY" w:eastAsia="es-UY"/>
          <w14:ligatures w14:val="none"/>
        </w:rPr>
        <w:t>Teología</w:t>
      </w:r>
      <w:r w:rsidRPr="00FB6005">
        <w:rPr>
          <w:rFonts w:ascii="Open Sans" w:eastAsia="Times New Roman" w:hAnsi="Open Sans" w:cs="Open Sans"/>
          <w:color w:val="333333"/>
          <w:kern w:val="0"/>
          <w:sz w:val="21"/>
          <w:szCs w:val="21"/>
          <w:lang w:val="es-UY" w:eastAsia="es-UY"/>
          <w14:ligatures w14:val="none"/>
        </w:rPr>
        <w:t xml:space="preserve">, Tomo LVII, </w:t>
      </w:r>
      <w:proofErr w:type="spellStart"/>
      <w:r w:rsidRPr="00FB6005">
        <w:rPr>
          <w:rFonts w:ascii="Open Sans" w:eastAsia="Times New Roman" w:hAnsi="Open Sans" w:cs="Open Sans"/>
          <w:color w:val="333333"/>
          <w:kern w:val="0"/>
          <w:sz w:val="21"/>
          <w:szCs w:val="21"/>
          <w:lang w:val="es-UY" w:eastAsia="es-UY"/>
          <w14:ligatures w14:val="none"/>
        </w:rPr>
        <w:t>N°</w:t>
      </w:r>
      <w:proofErr w:type="spellEnd"/>
      <w:r w:rsidRPr="00FB6005">
        <w:rPr>
          <w:rFonts w:ascii="Open Sans" w:eastAsia="Times New Roman" w:hAnsi="Open Sans" w:cs="Open Sans"/>
          <w:color w:val="333333"/>
          <w:kern w:val="0"/>
          <w:sz w:val="21"/>
          <w:szCs w:val="21"/>
          <w:lang w:val="es-UY" w:eastAsia="es-UY"/>
          <w14:ligatures w14:val="none"/>
        </w:rPr>
        <w:t xml:space="preserve"> 133, diciembre, p. 156.</w:t>
      </w:r>
    </w:p>
    <w:p w14:paraId="2E2E4D4B"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FB6005">
        <w:rPr>
          <w:rFonts w:ascii="Open Sans" w:eastAsia="Times New Roman" w:hAnsi="Open Sans" w:cs="Open Sans"/>
          <w:color w:val="333333"/>
          <w:kern w:val="0"/>
          <w:sz w:val="21"/>
          <w:szCs w:val="21"/>
          <w:lang w:val="es-UY" w:eastAsia="es-UY"/>
          <w14:ligatures w14:val="none"/>
        </w:rPr>
        <w:t>[22] EG 198.</w:t>
      </w:r>
    </w:p>
    <w:p w14:paraId="41580E83"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2" w:anchor="_ftnref23" w:history="1">
        <w:r w:rsidRPr="00FB6005">
          <w:rPr>
            <w:rFonts w:ascii="Open Sans" w:eastAsia="Times New Roman" w:hAnsi="Open Sans" w:cs="Open Sans"/>
            <w:color w:val="D49400"/>
            <w:kern w:val="0"/>
            <w:sz w:val="21"/>
            <w:szCs w:val="21"/>
            <w:lang w:val="es-UY" w:eastAsia="es-UY"/>
            <w14:ligatures w14:val="none"/>
          </w:rPr>
          <w:t>[23]</w:t>
        </w:r>
      </w:hyperlink>
      <w:r w:rsidRPr="00FB6005">
        <w:rPr>
          <w:rFonts w:ascii="Open Sans" w:eastAsia="Times New Roman" w:hAnsi="Open Sans" w:cs="Open Sans"/>
          <w:color w:val="333333"/>
          <w:kern w:val="0"/>
          <w:sz w:val="21"/>
          <w:szCs w:val="21"/>
          <w:lang w:val="es-UY" w:eastAsia="es-UY"/>
          <w14:ligatures w14:val="none"/>
        </w:rPr>
        <w:t xml:space="preserve"> Vives Solé, </w:t>
      </w:r>
      <w:proofErr w:type="spellStart"/>
      <w:r w:rsidRPr="00FB6005">
        <w:rPr>
          <w:rFonts w:ascii="Open Sans" w:eastAsia="Times New Roman" w:hAnsi="Open Sans" w:cs="Open Sans"/>
          <w:color w:val="333333"/>
          <w:kern w:val="0"/>
          <w:sz w:val="21"/>
          <w:szCs w:val="21"/>
          <w:lang w:val="es-UY" w:eastAsia="es-UY"/>
          <w14:ligatures w14:val="none"/>
        </w:rPr>
        <w:t>op</w:t>
      </w:r>
      <w:proofErr w:type="spellEnd"/>
      <w:r w:rsidRPr="00FB6005">
        <w:rPr>
          <w:rFonts w:ascii="Open Sans" w:eastAsia="Times New Roman" w:hAnsi="Open Sans" w:cs="Open Sans"/>
          <w:color w:val="333333"/>
          <w:kern w:val="0"/>
          <w:sz w:val="21"/>
          <w:szCs w:val="21"/>
          <w:lang w:val="es-UY" w:eastAsia="es-UY"/>
          <w14:ligatures w14:val="none"/>
        </w:rPr>
        <w:t>. cit., pp. 311-312.</w:t>
      </w:r>
    </w:p>
    <w:p w14:paraId="6A319061"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3" w:anchor="_ftnref24" w:history="1">
        <w:r w:rsidRPr="00FB6005">
          <w:rPr>
            <w:rFonts w:ascii="Open Sans" w:eastAsia="Times New Roman" w:hAnsi="Open Sans" w:cs="Open Sans"/>
            <w:color w:val="D49400"/>
            <w:kern w:val="0"/>
            <w:sz w:val="21"/>
            <w:szCs w:val="21"/>
            <w:lang w:val="es-UY" w:eastAsia="es-UY"/>
            <w14:ligatures w14:val="none"/>
          </w:rPr>
          <w:t>[24]</w:t>
        </w:r>
        <w:proofErr w:type="spellStart"/>
      </w:hyperlink>
      <w:r w:rsidRPr="00FB6005">
        <w:rPr>
          <w:rFonts w:ascii="Open Sans" w:eastAsia="Times New Roman" w:hAnsi="Open Sans" w:cs="Open Sans"/>
          <w:i/>
          <w:iCs/>
          <w:color w:val="474747"/>
          <w:kern w:val="0"/>
          <w:sz w:val="21"/>
          <w:szCs w:val="21"/>
          <w:lang w:val="es-UY" w:eastAsia="es-UY"/>
          <w14:ligatures w14:val="none"/>
        </w:rPr>
        <w:t>Ibíd</w:t>
      </w:r>
      <w:proofErr w:type="spellEnd"/>
      <w:r w:rsidRPr="00FB6005">
        <w:rPr>
          <w:rFonts w:ascii="Open Sans" w:eastAsia="Times New Roman" w:hAnsi="Open Sans" w:cs="Open Sans"/>
          <w:color w:val="333333"/>
          <w:kern w:val="0"/>
          <w:sz w:val="21"/>
          <w:szCs w:val="21"/>
          <w:lang w:val="es-UY" w:eastAsia="es-UY"/>
          <w14:ligatures w14:val="none"/>
        </w:rPr>
        <w:t>., pp. 311-312.</w:t>
      </w:r>
    </w:p>
    <w:p w14:paraId="0A7CBC72"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4" w:anchor="_ftnref25" w:history="1">
        <w:r w:rsidRPr="00FB6005">
          <w:rPr>
            <w:rFonts w:ascii="Open Sans" w:eastAsia="Times New Roman" w:hAnsi="Open Sans" w:cs="Open Sans"/>
            <w:color w:val="D49400"/>
            <w:kern w:val="0"/>
            <w:sz w:val="21"/>
            <w:szCs w:val="21"/>
            <w:lang w:val="es-UY" w:eastAsia="es-UY"/>
            <w14:ligatures w14:val="none"/>
          </w:rPr>
          <w:t>[25]</w:t>
        </w:r>
      </w:hyperlink>
      <w:r w:rsidRPr="00FB6005">
        <w:rPr>
          <w:rFonts w:ascii="Open Sans" w:eastAsia="Times New Roman" w:hAnsi="Open Sans" w:cs="Open Sans"/>
          <w:color w:val="333333"/>
          <w:kern w:val="0"/>
          <w:sz w:val="21"/>
          <w:szCs w:val="21"/>
          <w:lang w:val="es-UY" w:eastAsia="es-UY"/>
          <w14:ligatures w14:val="none"/>
        </w:rPr>
        <w:t> LS 64.</w:t>
      </w:r>
    </w:p>
    <w:p w14:paraId="6E5627C5"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5" w:anchor="_ftnref26" w:history="1">
        <w:r w:rsidRPr="00FB6005">
          <w:rPr>
            <w:rFonts w:ascii="Open Sans" w:eastAsia="Times New Roman" w:hAnsi="Open Sans" w:cs="Open Sans"/>
            <w:color w:val="D49400"/>
            <w:kern w:val="0"/>
            <w:sz w:val="21"/>
            <w:szCs w:val="21"/>
            <w:lang w:val="es-UY" w:eastAsia="es-UY"/>
            <w14:ligatures w14:val="none"/>
          </w:rPr>
          <w:t>[26]</w:t>
        </w:r>
      </w:hyperlink>
      <w:r w:rsidRPr="00FB6005">
        <w:rPr>
          <w:rFonts w:ascii="Open Sans" w:eastAsia="Times New Roman" w:hAnsi="Open Sans" w:cs="Open Sans"/>
          <w:color w:val="333333"/>
          <w:kern w:val="0"/>
          <w:sz w:val="21"/>
          <w:szCs w:val="21"/>
          <w:lang w:val="es-UY" w:eastAsia="es-UY"/>
          <w14:ligatures w14:val="none"/>
        </w:rPr>
        <w:t> LS 149.</w:t>
      </w:r>
    </w:p>
    <w:p w14:paraId="7A409FE8"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6" w:anchor="_ftnref27" w:history="1">
        <w:r w:rsidRPr="00FB6005">
          <w:rPr>
            <w:rFonts w:ascii="Open Sans" w:eastAsia="Times New Roman" w:hAnsi="Open Sans" w:cs="Open Sans"/>
            <w:color w:val="D49400"/>
            <w:kern w:val="0"/>
            <w:sz w:val="21"/>
            <w:szCs w:val="21"/>
            <w:lang w:val="es-UY" w:eastAsia="es-UY"/>
            <w14:ligatures w14:val="none"/>
          </w:rPr>
          <w:t>[27]</w:t>
        </w:r>
      </w:hyperlink>
      <w:r w:rsidRPr="00FB6005">
        <w:rPr>
          <w:rFonts w:ascii="Open Sans" w:eastAsia="Times New Roman" w:hAnsi="Open Sans" w:cs="Open Sans"/>
          <w:i/>
          <w:iCs/>
          <w:color w:val="474747"/>
          <w:kern w:val="0"/>
          <w:sz w:val="21"/>
          <w:szCs w:val="21"/>
          <w:lang w:val="es-UY" w:eastAsia="es-UY"/>
          <w14:ligatures w14:val="none"/>
        </w:rPr>
        <w:t xml:space="preserve">Fratelli </w:t>
      </w:r>
      <w:proofErr w:type="spellStart"/>
      <w:r w:rsidRPr="00FB6005">
        <w:rPr>
          <w:rFonts w:ascii="Open Sans" w:eastAsia="Times New Roman" w:hAnsi="Open Sans" w:cs="Open Sans"/>
          <w:i/>
          <w:iCs/>
          <w:color w:val="474747"/>
          <w:kern w:val="0"/>
          <w:sz w:val="21"/>
          <w:szCs w:val="21"/>
          <w:lang w:val="es-UY" w:eastAsia="es-UY"/>
          <w14:ligatures w14:val="none"/>
        </w:rPr>
        <w:t>Tutti</w:t>
      </w:r>
      <w:proofErr w:type="spellEnd"/>
      <w:r w:rsidRPr="00FB6005">
        <w:rPr>
          <w:rFonts w:ascii="Open Sans" w:eastAsia="Times New Roman" w:hAnsi="Open Sans" w:cs="Open Sans"/>
          <w:color w:val="333333"/>
          <w:kern w:val="0"/>
          <w:sz w:val="21"/>
          <w:szCs w:val="21"/>
          <w:lang w:val="es-UY" w:eastAsia="es-UY"/>
          <w14:ligatures w14:val="none"/>
        </w:rPr>
        <w:t> 186.</w:t>
      </w:r>
    </w:p>
    <w:p w14:paraId="1C43847D" w14:textId="77777777" w:rsidR="00FB6005" w:rsidRPr="00FB6005" w:rsidRDefault="00FB6005" w:rsidP="00FB6005">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hyperlink r:id="rId67" w:anchor="_ftnref28" w:history="1">
        <w:r w:rsidRPr="00FB6005">
          <w:rPr>
            <w:rFonts w:ascii="Open Sans" w:eastAsia="Times New Roman" w:hAnsi="Open Sans" w:cs="Open Sans"/>
            <w:color w:val="D49400"/>
            <w:kern w:val="0"/>
            <w:sz w:val="21"/>
            <w:szCs w:val="21"/>
            <w:lang w:val="es-UY" w:eastAsia="es-UY"/>
            <w14:ligatures w14:val="none"/>
          </w:rPr>
          <w:t>[28]</w:t>
        </w:r>
      </w:hyperlink>
      <w:r w:rsidRPr="00FB6005">
        <w:rPr>
          <w:rFonts w:ascii="Open Sans" w:eastAsia="Times New Roman" w:hAnsi="Open Sans" w:cs="Open Sans"/>
          <w:color w:val="333333"/>
          <w:kern w:val="0"/>
          <w:sz w:val="21"/>
          <w:szCs w:val="21"/>
          <w:lang w:val="es-UY" w:eastAsia="es-UY"/>
          <w14:ligatures w14:val="none"/>
        </w:rPr>
        <w:t> FT 162.</w:t>
      </w:r>
    </w:p>
    <w:p w14:paraId="44F7168C" w14:textId="7D920B08" w:rsidR="002E2F5B" w:rsidRDefault="00A5554D">
      <w:hyperlink r:id="rId68" w:history="1">
        <w:r w:rsidRPr="004C488C">
          <w:rPr>
            <w:rStyle w:val="Hipervnculo"/>
          </w:rPr>
          <w:t>https://www.religiondigital.org/opinion/Gozo-pobres-Dios-Discernimiento-historica-salvifica-popular-papa-francisco-espiritualidad-ignaciana_0_2520347954.html?utm_source=newsletter&amp;utm_medium=email&amp;utm_campaign=gozo_de_los_pobres_gozo_de_dios_discernimiento_para_la_praxis_historica_salvifica_popular&amp;utm_term=2023-01-30</w:t>
        </w:r>
      </w:hyperlink>
    </w:p>
    <w:p w14:paraId="6BC5BF67" w14:textId="77777777" w:rsidR="00A5554D" w:rsidRDefault="00A5554D"/>
    <w:sectPr w:rsidR="00A5554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C144C"/>
    <w:multiLevelType w:val="multilevel"/>
    <w:tmpl w:val="A5BA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737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05"/>
    <w:rsid w:val="002E2F5B"/>
    <w:rsid w:val="00A5554D"/>
    <w:rsid w:val="00FB600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7471"/>
  <w15:chartTrackingRefBased/>
  <w15:docId w15:val="{5B4A4CC4-898F-43A3-B6B9-C59FA612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554D"/>
    <w:rPr>
      <w:color w:val="0563C1" w:themeColor="hyperlink"/>
      <w:u w:val="single"/>
    </w:rPr>
  </w:style>
  <w:style w:type="character" w:styleId="Mencinsinresolver">
    <w:name w:val="Unresolved Mention"/>
    <w:basedOn w:val="Fuentedeprrafopredeter"/>
    <w:uiPriority w:val="99"/>
    <w:semiHidden/>
    <w:unhideWhenUsed/>
    <w:rsid w:val="00A55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594682">
      <w:bodyDiv w:val="1"/>
      <w:marLeft w:val="0"/>
      <w:marRight w:val="0"/>
      <w:marTop w:val="0"/>
      <w:marBottom w:val="0"/>
      <w:divBdr>
        <w:top w:val="none" w:sz="0" w:space="0" w:color="auto"/>
        <w:left w:val="none" w:sz="0" w:space="0" w:color="auto"/>
        <w:bottom w:val="none" w:sz="0" w:space="0" w:color="auto"/>
        <w:right w:val="none" w:sz="0" w:space="0" w:color="auto"/>
      </w:divBdr>
      <w:divsChild>
        <w:div w:id="111634254">
          <w:marLeft w:val="0"/>
          <w:marRight w:val="0"/>
          <w:marTop w:val="0"/>
          <w:marBottom w:val="0"/>
          <w:divBdr>
            <w:top w:val="none" w:sz="0" w:space="0" w:color="auto"/>
            <w:left w:val="none" w:sz="0" w:space="0" w:color="auto"/>
            <w:bottom w:val="none" w:sz="0" w:space="0" w:color="auto"/>
            <w:right w:val="none" w:sz="0" w:space="0" w:color="auto"/>
          </w:divBdr>
          <w:divsChild>
            <w:div w:id="1315068774">
              <w:marLeft w:val="0"/>
              <w:marRight w:val="0"/>
              <w:marTop w:val="0"/>
              <w:marBottom w:val="600"/>
              <w:divBdr>
                <w:top w:val="none" w:sz="0" w:space="0" w:color="auto"/>
                <w:left w:val="none" w:sz="0" w:space="0" w:color="auto"/>
                <w:bottom w:val="none" w:sz="0" w:space="0" w:color="auto"/>
                <w:right w:val="none" w:sz="0" w:space="0" w:color="auto"/>
              </w:divBdr>
              <w:divsChild>
                <w:div w:id="19704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36">
          <w:marLeft w:val="0"/>
          <w:marRight w:val="0"/>
          <w:marTop w:val="0"/>
          <w:marBottom w:val="0"/>
          <w:divBdr>
            <w:top w:val="none" w:sz="0" w:space="0" w:color="auto"/>
            <w:left w:val="none" w:sz="0" w:space="0" w:color="auto"/>
            <w:bottom w:val="none" w:sz="0" w:space="0" w:color="auto"/>
            <w:right w:val="none" w:sz="0" w:space="0" w:color="auto"/>
          </w:divBdr>
          <w:divsChild>
            <w:div w:id="638802723">
              <w:marLeft w:val="0"/>
              <w:marRight w:val="0"/>
              <w:marTop w:val="0"/>
              <w:marBottom w:val="0"/>
              <w:divBdr>
                <w:top w:val="none" w:sz="0" w:space="0" w:color="auto"/>
                <w:left w:val="none" w:sz="0" w:space="0" w:color="auto"/>
                <w:bottom w:val="none" w:sz="0" w:space="0" w:color="auto"/>
                <w:right w:val="none" w:sz="0" w:space="0" w:color="auto"/>
              </w:divBdr>
              <w:divsChild>
                <w:div w:id="1628076695">
                  <w:marLeft w:val="-1275"/>
                  <w:marRight w:val="0"/>
                  <w:marTop w:val="0"/>
                  <w:marBottom w:val="0"/>
                  <w:divBdr>
                    <w:top w:val="none" w:sz="0" w:space="0" w:color="auto"/>
                    <w:left w:val="none" w:sz="0" w:space="0" w:color="auto"/>
                    <w:bottom w:val="none" w:sz="0" w:space="0" w:color="auto"/>
                    <w:right w:val="none" w:sz="0" w:space="0" w:color="auto"/>
                  </w:divBdr>
                </w:div>
                <w:div w:id="1262448025">
                  <w:marLeft w:val="0"/>
                  <w:marRight w:val="0"/>
                  <w:marTop w:val="0"/>
                  <w:marBottom w:val="0"/>
                  <w:divBdr>
                    <w:top w:val="none" w:sz="0" w:space="0" w:color="auto"/>
                    <w:left w:val="none" w:sz="0" w:space="0" w:color="auto"/>
                    <w:bottom w:val="none" w:sz="0" w:space="0" w:color="auto"/>
                    <w:right w:val="none" w:sz="0" w:space="0" w:color="auto"/>
                  </w:divBdr>
                  <w:divsChild>
                    <w:div w:id="299578398">
                      <w:marLeft w:val="0"/>
                      <w:marRight w:val="0"/>
                      <w:marTop w:val="0"/>
                      <w:marBottom w:val="0"/>
                      <w:divBdr>
                        <w:top w:val="none" w:sz="0" w:space="0" w:color="auto"/>
                        <w:left w:val="none" w:sz="0" w:space="0" w:color="auto"/>
                        <w:bottom w:val="none" w:sz="0" w:space="0" w:color="auto"/>
                        <w:right w:val="none" w:sz="0" w:space="0" w:color="auto"/>
                      </w:divBdr>
                    </w:div>
                    <w:div w:id="643311507">
                      <w:marLeft w:val="0"/>
                      <w:marRight w:val="0"/>
                      <w:marTop w:val="0"/>
                      <w:marBottom w:val="0"/>
                      <w:divBdr>
                        <w:top w:val="none" w:sz="0" w:space="0" w:color="auto"/>
                        <w:left w:val="none" w:sz="0" w:space="0" w:color="auto"/>
                        <w:bottom w:val="none" w:sz="0" w:space="0" w:color="auto"/>
                        <w:right w:val="none" w:sz="0" w:space="0" w:color="auto"/>
                      </w:divBdr>
                      <w:divsChild>
                        <w:div w:id="848372998">
                          <w:marLeft w:val="0"/>
                          <w:marRight w:val="0"/>
                          <w:marTop w:val="0"/>
                          <w:marBottom w:val="0"/>
                          <w:divBdr>
                            <w:top w:val="none" w:sz="0" w:space="0" w:color="auto"/>
                            <w:left w:val="none" w:sz="0" w:space="0" w:color="auto"/>
                            <w:bottom w:val="none" w:sz="0" w:space="0" w:color="auto"/>
                            <w:right w:val="none" w:sz="0" w:space="0" w:color="auto"/>
                          </w:divBdr>
                          <w:divsChild>
                            <w:div w:id="1993294961">
                              <w:marLeft w:val="0"/>
                              <w:marRight w:val="0"/>
                              <w:marTop w:val="0"/>
                              <w:marBottom w:val="0"/>
                              <w:divBdr>
                                <w:top w:val="none" w:sz="0" w:space="0" w:color="auto"/>
                                <w:left w:val="none" w:sz="0" w:space="0" w:color="auto"/>
                                <w:bottom w:val="none" w:sz="0" w:space="0" w:color="auto"/>
                                <w:right w:val="none" w:sz="0" w:space="0" w:color="auto"/>
                              </w:divBdr>
                            </w:div>
                          </w:divsChild>
                        </w:div>
                        <w:div w:id="96485511">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465048633">
                                  <w:marLeft w:val="0"/>
                                  <w:marRight w:val="0"/>
                                  <w:marTop w:val="0"/>
                                  <w:marBottom w:val="0"/>
                                  <w:divBdr>
                                    <w:top w:val="none" w:sz="0" w:space="0" w:color="auto"/>
                                    <w:left w:val="none" w:sz="0" w:space="0" w:color="auto"/>
                                    <w:bottom w:val="none" w:sz="0" w:space="0" w:color="auto"/>
                                    <w:right w:val="none" w:sz="0" w:space="0" w:color="auto"/>
                                  </w:divBdr>
                                  <w:divsChild>
                                    <w:div w:id="878934152">
                                      <w:marLeft w:val="0"/>
                                      <w:marRight w:val="0"/>
                                      <w:marTop w:val="0"/>
                                      <w:marBottom w:val="450"/>
                                      <w:divBdr>
                                        <w:top w:val="none" w:sz="0" w:space="0" w:color="auto"/>
                                        <w:left w:val="none" w:sz="0" w:space="0" w:color="auto"/>
                                        <w:bottom w:val="none" w:sz="0" w:space="0" w:color="auto"/>
                                        <w:right w:val="none" w:sz="0" w:space="0" w:color="auto"/>
                                      </w:divBdr>
                                      <w:divsChild>
                                        <w:div w:id="1626229363">
                                          <w:marLeft w:val="0"/>
                                          <w:marRight w:val="0"/>
                                          <w:marTop w:val="0"/>
                                          <w:marBottom w:val="0"/>
                                          <w:divBdr>
                                            <w:top w:val="none" w:sz="0" w:space="0" w:color="auto"/>
                                            <w:left w:val="none" w:sz="0" w:space="0" w:color="auto"/>
                                            <w:bottom w:val="none" w:sz="0" w:space="0" w:color="auto"/>
                                            <w:right w:val="none" w:sz="0" w:space="0" w:color="auto"/>
                                          </w:divBdr>
                                        </w:div>
                                      </w:divsChild>
                                    </w:div>
                                    <w:div w:id="807623854">
                                      <w:blockQuote w:val="1"/>
                                      <w:marLeft w:val="0"/>
                                      <w:marRight w:val="0"/>
                                      <w:marTop w:val="0"/>
                                      <w:marBottom w:val="300"/>
                                      <w:divBdr>
                                        <w:top w:val="none" w:sz="0" w:space="0" w:color="auto"/>
                                        <w:left w:val="none" w:sz="0" w:space="0" w:color="auto"/>
                                        <w:bottom w:val="none" w:sz="0" w:space="0" w:color="auto"/>
                                        <w:right w:val="none" w:sz="0" w:space="0" w:color="auto"/>
                                      </w:divBdr>
                                    </w:div>
                                    <w:div w:id="1492331471">
                                      <w:marLeft w:val="0"/>
                                      <w:marRight w:val="0"/>
                                      <w:marTop w:val="0"/>
                                      <w:marBottom w:val="450"/>
                                      <w:divBdr>
                                        <w:top w:val="none" w:sz="0" w:space="0" w:color="auto"/>
                                        <w:left w:val="none" w:sz="0" w:space="0" w:color="auto"/>
                                        <w:bottom w:val="none" w:sz="0" w:space="0" w:color="auto"/>
                                        <w:right w:val="none" w:sz="0" w:space="0" w:color="auto"/>
                                      </w:divBdr>
                                      <w:divsChild>
                                        <w:div w:id="671840250">
                                          <w:marLeft w:val="0"/>
                                          <w:marRight w:val="0"/>
                                          <w:marTop w:val="0"/>
                                          <w:marBottom w:val="0"/>
                                          <w:divBdr>
                                            <w:top w:val="none" w:sz="0" w:space="0" w:color="auto"/>
                                            <w:left w:val="none" w:sz="0" w:space="0" w:color="auto"/>
                                            <w:bottom w:val="none" w:sz="0" w:space="0" w:color="auto"/>
                                            <w:right w:val="none" w:sz="0" w:space="0" w:color="auto"/>
                                          </w:divBdr>
                                        </w:div>
                                      </w:divsChild>
                                    </w:div>
                                    <w:div w:id="816068514">
                                      <w:blockQuote w:val="1"/>
                                      <w:marLeft w:val="0"/>
                                      <w:marRight w:val="0"/>
                                      <w:marTop w:val="0"/>
                                      <w:marBottom w:val="300"/>
                                      <w:divBdr>
                                        <w:top w:val="none" w:sz="0" w:space="0" w:color="auto"/>
                                        <w:left w:val="none" w:sz="0" w:space="0" w:color="auto"/>
                                        <w:bottom w:val="none" w:sz="0" w:space="0" w:color="auto"/>
                                        <w:right w:val="none" w:sz="0" w:space="0" w:color="auto"/>
                                      </w:divBdr>
                                    </w:div>
                                    <w:div w:id="874125815">
                                      <w:marLeft w:val="0"/>
                                      <w:marRight w:val="0"/>
                                      <w:marTop w:val="0"/>
                                      <w:marBottom w:val="450"/>
                                      <w:divBdr>
                                        <w:top w:val="none" w:sz="0" w:space="0" w:color="auto"/>
                                        <w:left w:val="none" w:sz="0" w:space="0" w:color="auto"/>
                                        <w:bottom w:val="none" w:sz="0" w:space="0" w:color="auto"/>
                                        <w:right w:val="none" w:sz="0" w:space="0" w:color="auto"/>
                                      </w:divBdr>
                                      <w:divsChild>
                                        <w:div w:id="1774401958">
                                          <w:marLeft w:val="0"/>
                                          <w:marRight w:val="0"/>
                                          <w:marTop w:val="0"/>
                                          <w:marBottom w:val="0"/>
                                          <w:divBdr>
                                            <w:top w:val="none" w:sz="0" w:space="0" w:color="auto"/>
                                            <w:left w:val="none" w:sz="0" w:space="0" w:color="auto"/>
                                            <w:bottom w:val="none" w:sz="0" w:space="0" w:color="auto"/>
                                            <w:right w:val="none" w:sz="0" w:space="0" w:color="auto"/>
                                          </w:divBdr>
                                        </w:div>
                                      </w:divsChild>
                                    </w:div>
                                    <w:div w:id="934828363">
                                      <w:blockQuote w:val="1"/>
                                      <w:marLeft w:val="0"/>
                                      <w:marRight w:val="0"/>
                                      <w:marTop w:val="0"/>
                                      <w:marBottom w:val="300"/>
                                      <w:divBdr>
                                        <w:top w:val="none" w:sz="0" w:space="0" w:color="auto"/>
                                        <w:left w:val="none" w:sz="0" w:space="0" w:color="auto"/>
                                        <w:bottom w:val="none" w:sz="0" w:space="0" w:color="auto"/>
                                        <w:right w:val="none" w:sz="0" w:space="0" w:color="auto"/>
                                      </w:divBdr>
                                    </w:div>
                                    <w:div w:id="1086264217">
                                      <w:blockQuote w:val="1"/>
                                      <w:marLeft w:val="0"/>
                                      <w:marRight w:val="0"/>
                                      <w:marTop w:val="0"/>
                                      <w:marBottom w:val="300"/>
                                      <w:divBdr>
                                        <w:top w:val="none" w:sz="0" w:space="0" w:color="auto"/>
                                        <w:left w:val="none" w:sz="0" w:space="0" w:color="auto"/>
                                        <w:bottom w:val="none" w:sz="0" w:space="0" w:color="auto"/>
                                        <w:right w:val="none" w:sz="0" w:space="0" w:color="auto"/>
                                      </w:divBdr>
                                    </w:div>
                                    <w:div w:id="549610060">
                                      <w:marLeft w:val="0"/>
                                      <w:marRight w:val="0"/>
                                      <w:marTop w:val="0"/>
                                      <w:marBottom w:val="450"/>
                                      <w:divBdr>
                                        <w:top w:val="none" w:sz="0" w:space="0" w:color="auto"/>
                                        <w:left w:val="none" w:sz="0" w:space="0" w:color="auto"/>
                                        <w:bottom w:val="none" w:sz="0" w:space="0" w:color="auto"/>
                                        <w:right w:val="none" w:sz="0" w:space="0" w:color="auto"/>
                                      </w:divBdr>
                                      <w:divsChild>
                                        <w:div w:id="14707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holicethics.com/forum/gozo-de-los-pobres-gozo-de-dios-discernimiento-para-la-praxis-historica-salvifica-popular/" TargetMode="External"/><Relationship Id="rId18" Type="http://schemas.openxmlformats.org/officeDocument/2006/relationships/hyperlink" Target="https://catholicethics.com/forum/gozo-de-los-pobres-gozo-de-dios-discernimiento-para-la-praxis-historica-salvifica-popular/" TargetMode="External"/><Relationship Id="rId26" Type="http://schemas.openxmlformats.org/officeDocument/2006/relationships/hyperlink" Target="https://catholicethics.com/forum/gozo-de-los-pobres-gozo-de-dios-discernimiento-para-la-praxis-historica-salvifica-popular/" TargetMode="External"/><Relationship Id="rId39" Type="http://schemas.openxmlformats.org/officeDocument/2006/relationships/hyperlink" Target="https://catholicethics.com/forum/gozo-de-los-pobres-gozo-de-dios-discernimiento-para-la-praxis-historica-salvifica-popular/" TargetMode="External"/><Relationship Id="rId21" Type="http://schemas.openxmlformats.org/officeDocument/2006/relationships/hyperlink" Target="https://catholicethics.com/forum/gozo-de-los-pobres-gozo-de-dios-discernimiento-para-la-praxis-historica-salvifica-popular/" TargetMode="External"/><Relationship Id="rId34" Type="http://schemas.openxmlformats.org/officeDocument/2006/relationships/hyperlink" Target="https://catholicethics.com/forum/gozo-de-los-pobres-gozo-de-dios-discernimiento-para-la-praxis-historica-salvifica-popular/" TargetMode="External"/><Relationship Id="rId42" Type="http://schemas.openxmlformats.org/officeDocument/2006/relationships/hyperlink" Target="https://catholicethics.com/forum/gozo-de-los-pobres-gozo-de-dios-discernimiento-para-la-praxis-historica-salvifica-popular/" TargetMode="External"/><Relationship Id="rId47" Type="http://schemas.openxmlformats.org/officeDocument/2006/relationships/hyperlink" Target="https://catholicethics.com/forum/gozo-de-los-pobres-gozo-de-dios-discernimiento-para-la-praxis-historica-salvifica-popular/" TargetMode="External"/><Relationship Id="rId50" Type="http://schemas.openxmlformats.org/officeDocument/2006/relationships/hyperlink" Target="https://catholicethics.com/forum/gozo-de-los-pobres-gozo-de-dios-discernimiento-para-la-praxis-historica-salvifica-popular/" TargetMode="External"/><Relationship Id="rId55" Type="http://schemas.openxmlformats.org/officeDocument/2006/relationships/hyperlink" Target="http://www.cantalamessa.org/?p=4052&amp;lang=es" TargetMode="External"/><Relationship Id="rId63" Type="http://schemas.openxmlformats.org/officeDocument/2006/relationships/hyperlink" Target="https://catholicethics.com/forum/gozo-de-los-pobres-gozo-de-dios-discernimiento-para-la-praxis-historica-salvifica-popular/" TargetMode="External"/><Relationship Id="rId68" Type="http://schemas.openxmlformats.org/officeDocument/2006/relationships/hyperlink" Target="https://www.religiondigital.org/opinion/Gozo-pobres-Dios-Discernimiento-historica-salvifica-popular-papa-francisco-espiritualidad-ignaciana_0_2520347954.html?utm_source=newsletter&amp;utm_medium=email&amp;utm_campaign=gozo_de_los_pobres_gozo_de_dios_discernimiento_para_la_praxis_historica_salvifica_popular&amp;utm_term=2023-01-30" TargetMode="External"/><Relationship Id="rId7" Type="http://schemas.openxmlformats.org/officeDocument/2006/relationships/hyperlink" Target="https://catholicethics.com/forum/gozo-de-los-pobres-gozo-de-dios-discernimiento-para-la-praxis-historica-salvifica-popular/" TargetMode="External"/><Relationship Id="rId2" Type="http://schemas.openxmlformats.org/officeDocument/2006/relationships/styles" Target="styles.xml"/><Relationship Id="rId16" Type="http://schemas.openxmlformats.org/officeDocument/2006/relationships/hyperlink" Target="https://catholicethics.com/forum/gozo-de-los-pobres-gozo-de-dios-discernimiento-para-la-praxis-historica-salvifica-popular/" TargetMode="External"/><Relationship Id="rId29" Type="http://schemas.openxmlformats.org/officeDocument/2006/relationships/hyperlink" Target="https://catholicethics.com/forum/gozo-de-los-pobres-gozo-de-dios-discernimiento-para-la-praxis-historica-salvifica-popular/" TargetMode="External"/><Relationship Id="rId1" Type="http://schemas.openxmlformats.org/officeDocument/2006/relationships/numbering" Target="numbering.xml"/><Relationship Id="rId6" Type="http://schemas.openxmlformats.org/officeDocument/2006/relationships/hyperlink" Target="https://catholicethics.com/forum/gozo-de-los-pobres-gozo-de-dios-discernimiento-para-la-praxis-historica-salvifica-popular/" TargetMode="External"/><Relationship Id="rId11" Type="http://schemas.openxmlformats.org/officeDocument/2006/relationships/hyperlink" Target="https://catholicethics.com/forum/gozo-de-los-pobres-gozo-de-dios-discernimiento-para-la-praxis-historica-salvifica-popular/" TargetMode="External"/><Relationship Id="rId24" Type="http://schemas.openxmlformats.org/officeDocument/2006/relationships/image" Target="media/image4.jpeg"/><Relationship Id="rId32" Type="http://schemas.openxmlformats.org/officeDocument/2006/relationships/hyperlink" Target="https://catholicethics.com/forum/gozo-de-los-pobres-gozo-de-dios-discernimiento-para-la-praxis-historica-salvifica-popular/" TargetMode="External"/><Relationship Id="rId37" Type="http://schemas.openxmlformats.org/officeDocument/2006/relationships/hyperlink" Target="https://catholicethics.com/forum/gozo-de-los-pobres-gozo-de-dios-discernimiento-para-la-praxis-historica-salvifica-popular/" TargetMode="External"/><Relationship Id="rId40" Type="http://schemas.openxmlformats.org/officeDocument/2006/relationships/hyperlink" Target="https://catholicethics.com/forum/gozo-de-los-pobres-gozo-de-dios-discernimiento-para-la-praxis-historica-salvifica-popular/" TargetMode="External"/><Relationship Id="rId45" Type="http://schemas.openxmlformats.org/officeDocument/2006/relationships/hyperlink" Target="https://catholicethics.com/forum/gozo-de-los-pobres-gozo-de-dios-discernimiento-para-la-praxis-historica-salvifica-popular/" TargetMode="External"/><Relationship Id="rId53" Type="http://schemas.openxmlformats.org/officeDocument/2006/relationships/hyperlink" Target="https://catholicethics.com/forum/gozo-de-los-pobres-gozo-de-dios-discernimiento-para-la-praxis-historica-salvifica-popular/" TargetMode="External"/><Relationship Id="rId58" Type="http://schemas.openxmlformats.org/officeDocument/2006/relationships/hyperlink" Target="https://catholicethics.com/forum/gozo-de-los-pobres-gozo-de-dios-discernimiento-para-la-praxis-historica-salvifica-popular/" TargetMode="External"/><Relationship Id="rId66" Type="http://schemas.openxmlformats.org/officeDocument/2006/relationships/hyperlink" Target="https://catholicethics.com/forum/gozo-de-los-pobres-gozo-de-dios-discernimiento-para-la-praxis-historica-salvifica-popular/"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catholicethics.com/forum/gozo-de-los-pobres-gozo-de-dios-discernimiento-para-la-praxis-historica-salvifica-popular/" TargetMode="External"/><Relationship Id="rId28" Type="http://schemas.openxmlformats.org/officeDocument/2006/relationships/hyperlink" Target="https://catholicethics.com/forum/gozo-de-los-pobres-gozo-de-dios-discernimiento-para-la-praxis-historica-salvifica-popular/" TargetMode="External"/><Relationship Id="rId36" Type="http://schemas.openxmlformats.org/officeDocument/2006/relationships/hyperlink" Target="https://catholicethics.com/forum/gozo-de-los-pobres-gozo-de-dios-discernimiento-para-la-praxis-historica-salvifica-popular/" TargetMode="External"/><Relationship Id="rId49" Type="http://schemas.openxmlformats.org/officeDocument/2006/relationships/hyperlink" Target="https://catholicethics.com/forum/gozo-de-los-pobres-gozo-de-dios-discernimiento-para-la-praxis-historica-salvifica-popular/" TargetMode="External"/><Relationship Id="rId57" Type="http://schemas.openxmlformats.org/officeDocument/2006/relationships/hyperlink" Target="https://catholicethics.com/forum/gozo-de-los-pobres-gozo-de-dios-discernimiento-para-la-praxis-historica-salvifica-popular/" TargetMode="External"/><Relationship Id="rId61" Type="http://schemas.openxmlformats.org/officeDocument/2006/relationships/hyperlink" Target="https://catholicethics.com/forum/gozo-de-los-pobres-gozo-de-dios-discernimiento-para-la-praxis-historica-salvifica-popular/" TargetMode="External"/><Relationship Id="rId10" Type="http://schemas.openxmlformats.org/officeDocument/2006/relationships/hyperlink" Target="https://catholicethics.com/forum/gozo-de-los-pobres-gozo-de-dios-discernimiento-para-la-praxis-historica-salvifica-popular/" TargetMode="External"/><Relationship Id="rId19" Type="http://schemas.openxmlformats.org/officeDocument/2006/relationships/hyperlink" Target="https://catholicethics.com/forum/gozo-de-los-pobres-gozo-de-dios-discernimiento-para-la-praxis-historica-salvifica-popular/" TargetMode="External"/><Relationship Id="rId31" Type="http://schemas.openxmlformats.org/officeDocument/2006/relationships/hyperlink" Target="https://catholicethics.com/forum/gozo-de-los-pobres-gozo-de-dios-discernimiento-para-la-praxis-historica-salvifica-popular/" TargetMode="External"/><Relationship Id="rId44" Type="http://schemas.openxmlformats.org/officeDocument/2006/relationships/hyperlink" Target="https://catholicethics.com/forum/gozo-de-los-pobres-gozo-de-dios-discernimiento-para-la-praxis-historica-salvifica-popular/" TargetMode="External"/><Relationship Id="rId52" Type="http://schemas.openxmlformats.org/officeDocument/2006/relationships/hyperlink" Target="https://catholicethics.com/forum/gozo-de-los-pobres-gozo-de-dios-discernimiento-para-la-praxis-historica-salvifica-popular/" TargetMode="External"/><Relationship Id="rId60" Type="http://schemas.openxmlformats.org/officeDocument/2006/relationships/hyperlink" Target="https://catholicethics.com/forum/gozo-de-los-pobres-gozo-de-dios-discernimiento-para-la-praxis-historica-salvifica-popular/" TargetMode="External"/><Relationship Id="rId65" Type="http://schemas.openxmlformats.org/officeDocument/2006/relationships/hyperlink" Target="https://catholicethics.com/forum/gozo-de-los-pobres-gozo-de-dios-discernimiento-para-la-praxis-historica-salvifica-popula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atholicethics.com/forum/gozo-de-los-pobres-gozo-de-dios-discernimiento-para-la-praxis-historica-salvifica-popular/" TargetMode="External"/><Relationship Id="rId22" Type="http://schemas.openxmlformats.org/officeDocument/2006/relationships/hyperlink" Target="https://catholicethics.com/forum/gozo-de-los-pobres-gozo-de-dios-discernimiento-para-la-praxis-historica-salvifica-popular/" TargetMode="External"/><Relationship Id="rId27" Type="http://schemas.openxmlformats.org/officeDocument/2006/relationships/hyperlink" Target="https://catholicethics.com/forum/gozo-de-los-pobres-gozo-de-dios-discernimiento-para-la-praxis-historica-salvifica-popular/" TargetMode="External"/><Relationship Id="rId30" Type="http://schemas.openxmlformats.org/officeDocument/2006/relationships/hyperlink" Target="https://catholicethics.com/forum/gozo-de-los-pobres-gozo-de-dios-discernimiento-para-la-praxis-historica-salvifica-popular/" TargetMode="External"/><Relationship Id="rId35" Type="http://schemas.openxmlformats.org/officeDocument/2006/relationships/hyperlink" Target="https://catholicethics.com/forum/gozo-de-los-pobres-gozo-de-dios-discernimiento-para-la-praxis-historica-salvifica-popular/" TargetMode="External"/><Relationship Id="rId43" Type="http://schemas.openxmlformats.org/officeDocument/2006/relationships/hyperlink" Target="https://catholicethics.com/forum/gozo-de-los-pobres-gozo-de-dios-discernimiento-para-la-praxis-historica-salvifica-popular/" TargetMode="External"/><Relationship Id="rId48" Type="http://schemas.openxmlformats.org/officeDocument/2006/relationships/hyperlink" Target="https://catholicethics.com/forum/gozo-de-los-pobres-gozo-de-dios-discernimiento-para-la-praxis-historica-salvifica-popular/" TargetMode="External"/><Relationship Id="rId56" Type="http://schemas.openxmlformats.org/officeDocument/2006/relationships/hyperlink" Target="https://catholicethics.com/forum/gozo-de-los-pobres-gozo-de-dios-discernimiento-para-la-praxis-historica-salvifica-popular/" TargetMode="External"/><Relationship Id="rId64" Type="http://schemas.openxmlformats.org/officeDocument/2006/relationships/hyperlink" Target="https://catholicethics.com/forum/gozo-de-los-pobres-gozo-de-dios-discernimiento-para-la-praxis-historica-salvifica-popular/" TargetMode="External"/><Relationship Id="rId69" Type="http://schemas.openxmlformats.org/officeDocument/2006/relationships/fontTable" Target="fontTable.xml"/><Relationship Id="rId8" Type="http://schemas.openxmlformats.org/officeDocument/2006/relationships/hyperlink" Target="https://catholicethics.com/forum/gozo-de-los-pobres-gozo-de-dios-discernimiento-para-la-praxis-historica-salvifica-popular/" TargetMode="External"/><Relationship Id="rId51" Type="http://schemas.openxmlformats.org/officeDocument/2006/relationships/hyperlink" Target="https://catholicethics.com/forum/gozo-de-los-pobres-gozo-de-dios-discernimiento-para-la-praxis-historica-salvifica-popular/" TargetMode="External"/><Relationship Id="rId3" Type="http://schemas.openxmlformats.org/officeDocument/2006/relationships/settings" Target="settings.xml"/><Relationship Id="rId12" Type="http://schemas.openxmlformats.org/officeDocument/2006/relationships/hyperlink" Target="https://catholicethics.com/forum/gozo-de-los-pobres-gozo-de-dios-discernimiento-para-la-praxis-historica-salvifica-popular/" TargetMode="External"/><Relationship Id="rId17" Type="http://schemas.openxmlformats.org/officeDocument/2006/relationships/hyperlink" Target="https://catholicethics.com/forum/gozo-de-los-pobres-gozo-de-dios-discernimiento-para-la-praxis-historica-salvifica-popular/" TargetMode="External"/><Relationship Id="rId25" Type="http://schemas.openxmlformats.org/officeDocument/2006/relationships/hyperlink" Target="https://catholicethics.com/forum/gozo-de-los-pobres-gozo-de-dios-discernimiento-para-la-praxis-historica-salvifica-popular/" TargetMode="External"/><Relationship Id="rId33" Type="http://schemas.openxmlformats.org/officeDocument/2006/relationships/image" Target="media/image5.png"/><Relationship Id="rId38" Type="http://schemas.openxmlformats.org/officeDocument/2006/relationships/hyperlink" Target="https://catholicethics.com/forum/gozo-de-los-pobres-gozo-de-dios-discernimiento-para-la-praxis-historica-salvifica-popular/" TargetMode="External"/><Relationship Id="rId46" Type="http://schemas.openxmlformats.org/officeDocument/2006/relationships/hyperlink" Target="https://catholicethics.com/forum/gozo-de-los-pobres-gozo-de-dios-discernimiento-para-la-praxis-historica-salvifica-popular/" TargetMode="External"/><Relationship Id="rId59" Type="http://schemas.openxmlformats.org/officeDocument/2006/relationships/hyperlink" Target="https://catholicethics.com/forum/gozo-de-los-pobres-gozo-de-dios-discernimiento-para-la-praxis-historica-salvifica-popular/" TargetMode="External"/><Relationship Id="rId67" Type="http://schemas.openxmlformats.org/officeDocument/2006/relationships/hyperlink" Target="https://catholicethics.com/forum/gozo-de-los-pobres-gozo-de-dios-discernimiento-para-la-praxis-historica-salvifica-popular/" TargetMode="External"/><Relationship Id="rId20" Type="http://schemas.openxmlformats.org/officeDocument/2006/relationships/hyperlink" Target="https://catholicethics.com/forum/gozo-de-los-pobres-gozo-de-dios-discernimiento-para-la-praxis-historica-salvifica-popular/" TargetMode="External"/><Relationship Id="rId41" Type="http://schemas.openxmlformats.org/officeDocument/2006/relationships/hyperlink" Target="https://catholicethics.com/forum/gozo-de-los-pobres-gozo-de-dios-discernimiento-para-la-praxis-historica-salvifica-popular/" TargetMode="External"/><Relationship Id="rId54" Type="http://schemas.openxmlformats.org/officeDocument/2006/relationships/hyperlink" Target="https://catholicethics.com/forum/gozo-de-los-pobres-gozo-de-dios-discernimiento-para-la-praxis-historica-salvifica-popular/" TargetMode="External"/><Relationship Id="rId62" Type="http://schemas.openxmlformats.org/officeDocument/2006/relationships/hyperlink" Target="https://catholicethics.com/forum/gozo-de-los-pobres-gozo-de-dios-discernimiento-para-la-praxis-historica-salvifica-popular/" TargetMode="External"/><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3956</Words>
  <Characters>21762</Characters>
  <Application>Microsoft Office Word</Application>
  <DocSecurity>0</DocSecurity>
  <Lines>181</Lines>
  <Paragraphs>51</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Gozo de los pobres, gozo de Dios: Discernimiento para la praxis histórica-salvíf</vt:lpstr>
      <vt:lpstr>    En el marco del décimo aniversario del Pontificado de Francisco, nos interesa re</vt:lpstr>
      <vt:lpstr>    En este texto nos interesa resaltar el aporte, que desde dicho tema, el Papa hac</vt:lpstr>
      <vt:lpstr>    Centralidad del discernimiento en el carisma ignaciano</vt:lpstr>
      <vt:lpstr>    Discernimiento para todos/as</vt:lpstr>
      <vt:lpstr>    Discernimiento y opción por el Reino de Dios</vt:lpstr>
    </vt:vector>
  </TitlesOfParts>
  <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2023-01-30T14:12:00Z</dcterms:created>
  <dcterms:modified xsi:type="dcterms:W3CDTF">2023-01-30T14:24:00Z</dcterms:modified>
</cp:coreProperties>
</file>