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6FAD" w14:textId="72C9E3F3" w:rsidR="00B83DC3" w:rsidRPr="00B83DC3" w:rsidRDefault="00B83DC3" w:rsidP="00B83DC3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"El catolicismo conservador no digiere la evolución"</w:t>
      </w:r>
      <w:r w:rsidR="008438E1" w:rsidRPr="008438E1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 xml:space="preserve"> </w:t>
      </w:r>
      <w:r w:rsidR="008438E1" w:rsidRPr="00B83DC3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Masía, ante las '</w:t>
      </w:r>
      <w:proofErr w:type="spellStart"/>
      <w:r w:rsidR="008438E1" w:rsidRPr="00B83DC3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dubia</w:t>
      </w:r>
      <w:proofErr w:type="spellEnd"/>
      <w:r w:rsidR="008438E1" w:rsidRPr="00B83DC3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'</w:t>
      </w:r>
    </w:p>
    <w:p w14:paraId="0E023417" w14:textId="77777777" w:rsidR="00B83DC3" w:rsidRPr="00B83DC3" w:rsidRDefault="00B83DC3" w:rsidP="00B83DC3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"</w:t>
      </w:r>
      <w:proofErr w:type="gramStart"/>
      <w:r w:rsidRPr="00B83DC3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Teólogos y teólogas</w:t>
      </w:r>
      <w:proofErr w:type="gramEnd"/>
      <w:r w:rsidRPr="00B83DC3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B83DC3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anti-sinodales</w:t>
      </w:r>
      <w:proofErr w:type="spellEnd"/>
      <w:r w:rsidRPr="00B83DC3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 xml:space="preserve"> no entienden que mentalidad sinodal y evolutiva son inseparables"</w:t>
      </w:r>
    </w:p>
    <w:p w14:paraId="30072EAD" w14:textId="725B5342" w:rsidR="00B83DC3" w:rsidRPr="00B83DC3" w:rsidRDefault="00B83DC3" w:rsidP="00B83DC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4A186380" wp14:editId="75525387">
            <wp:extent cx="5612130" cy="3154680"/>
            <wp:effectExtent l="0" t="0" r="7620" b="7620"/>
            <wp:docPr id="1451056382" name="Imagen 4" descr="Teología y ev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ología y evolu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744C" w14:textId="77777777" w:rsidR="00B83DC3" w:rsidRPr="00B83DC3" w:rsidRDefault="00B83DC3" w:rsidP="00B83DC3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Teología y evolución </w:t>
      </w:r>
      <w:r w:rsidRPr="00B83DC3">
        <w:rPr>
          <w:rFonts w:ascii="Garamond" w:eastAsia="Times New Roman" w:hAnsi="Garamond" w:cs="Open Sans"/>
          <w:color w:val="8C8C8C"/>
          <w:kern w:val="0"/>
          <w:sz w:val="24"/>
          <w:szCs w:val="24"/>
          <w:lang w:eastAsia="es-MX"/>
          <w14:ligatures w14:val="none"/>
        </w:rPr>
        <w:t>Creer y comprender</w:t>
      </w:r>
    </w:p>
    <w:p w14:paraId="1C302423" w14:textId="77777777" w:rsidR="00B83DC3" w:rsidRPr="00B83DC3" w:rsidRDefault="00B83DC3" w:rsidP="00B83DC3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"En el fondo de las “dudas” hay un problema de pensamiento y de espiritualidad: la falta de un pensamiento evolutivo y la falta de una espiritualidad de dejarse llevar por el Espíritu"</w:t>
      </w:r>
    </w:p>
    <w:p w14:paraId="7DE71087" w14:textId="77777777" w:rsidR="00B83DC3" w:rsidRPr="00B83DC3" w:rsidRDefault="00B83DC3" w:rsidP="00B83DC3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"Los medios católicos favorables al Papa Francisco han saludado con respeto las respuestas informales del Papa a los </w:t>
      </w:r>
      <w:proofErr w:type="spellStart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. Pero si los cardenales de "voces </w:t>
      </w:r>
      <w:proofErr w:type="spellStart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ultras"pecan</w:t>
      </w:r>
      <w:proofErr w:type="spellEnd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 por exceso, Francisco se queda corto"</w:t>
      </w:r>
    </w:p>
    <w:p w14:paraId="247205A1" w14:textId="77777777" w:rsidR="00B83DC3" w:rsidRPr="00B83DC3" w:rsidRDefault="00B83DC3" w:rsidP="00B83DC3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 xml:space="preserve">"Incluso los más progresistas, a la hora de la verdad tienen miedo a la evolución de las doctrinas, no se atreven a combatir el estreñimiento por miedo a las diarreas. Pero no tengan miedo. La </w:t>
      </w:r>
      <w:proofErr w:type="spellStart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diarrera</w:t>
      </w:r>
      <w:proofErr w:type="spellEnd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, como el sudor y otras expulsiones de lo que atasca el tráfico vital, son beneficiosas para la salud corpórea y psíquica..."</w:t>
      </w:r>
    </w:p>
    <w:p w14:paraId="454EAB42" w14:textId="77777777" w:rsidR="00B83DC3" w:rsidRPr="00B83DC3" w:rsidRDefault="00B83DC3" w:rsidP="00B83DC3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>03.10.2023 </w:t>
      </w:r>
      <w:hyperlink r:id="rId6" w:history="1">
        <w:r w:rsidRPr="00B83DC3">
          <w:rPr>
            <w:rFonts w:ascii="Garamond" w:eastAsia="Times New Roman" w:hAnsi="Garamond" w:cs="Open Sans"/>
            <w:b/>
            <w:bCs/>
            <w:i/>
            <w:iCs/>
            <w:color w:val="D49400"/>
            <w:kern w:val="0"/>
            <w:sz w:val="24"/>
            <w:szCs w:val="24"/>
            <w:lang w:eastAsia="es-MX"/>
            <w14:ligatures w14:val="none"/>
          </w:rPr>
          <w:t>Juan Masiá</w:t>
        </w:r>
      </w:hyperlink>
    </w:p>
    <w:p w14:paraId="760CDE89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 xml:space="preserve">El catolicismo conservador no digiere la evolución. </w:t>
      </w:r>
      <w:proofErr w:type="gram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Teólogos y teólogas</w:t>
      </w:r>
      <w:proofErr w:type="gram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anti-sinodales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no entienden que 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mentalidad sinodal y evolutiva son inseparables.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Pero en el fondo de las “dudas” hay un problema de pensamiento y de espiritualidad: la falta de un pensamiento evolutivo y la falta de una espiritualidad de dejarse llevar por el Espíritu.</w:t>
      </w:r>
    </w:p>
    <w:p w14:paraId="66C22C9F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Como decía en sus buenos tiempos conciliares el entonces todavía joven teólogo “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quasi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-progresista” Ratzinger, 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lo único que no cambia es el Espíritu que nos hace cambiar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 Es el Espíritu que, como dice Papa Francisco, suscita en la iglesia el cambio, la pluralidad y la conversión.</w:t>
      </w:r>
    </w:p>
    <w:p w14:paraId="4F066FB4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El Concilio Vaticano II reconoció que “la humanidad pasa de una concepción más bien estática de la realidad a otra más dinámica y evolutiva” (léase despacio todo el n. 5 de</w:t>
      </w:r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 </w:t>
      </w:r>
      <w:proofErr w:type="spellStart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Gaudium</w:t>
      </w:r>
      <w:proofErr w:type="spellEnd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 xml:space="preserve"> et </w:t>
      </w:r>
      <w:proofErr w:type="spellStart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spes</w:t>
      </w:r>
      <w:proofErr w:type="spellEnd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)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 Pero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 los cardenales escrupulosos que presentan a Roma sus dudas (“¡</w:t>
      </w:r>
      <w:proofErr w:type="spellStart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!”) sobre la inmutabilidad de las doctrinas tienen un serio problema de estreñimiento intelectual y miopía creyente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 Parece que presuponen una mentalidad sustancialista que no digiere la evolución. 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Evolución es más que mero cambio y conlleva creatividad y saltos cualitativos de novedad.</w:t>
      </w:r>
    </w:p>
    <w:p w14:paraId="44F8318B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Los medios católicos favorables al Papa Francisco han saludado con respeto las respuestas informales del Papa a los </w:t>
      </w:r>
      <w:proofErr w:type="spellStart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. 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Pero si los cardenales de "voces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ultras"pecan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por exceso, Francisco se queda corto. Les contesta con su característica delicadeza, humildad y caridad, usando un lenguaje minimalista del mismo paradigma no evolutivo que ellos pueden entender y no tendrán más remedio que admitir.</w:t>
      </w:r>
    </w:p>
    <w:p w14:paraId="00918395" w14:textId="7465463E" w:rsidR="00B83DC3" w:rsidRPr="00B83DC3" w:rsidRDefault="00B83DC3" w:rsidP="00B83DC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24ADF1EE" wp14:editId="4FBF2E6F">
            <wp:extent cx="5612130" cy="3155315"/>
            <wp:effectExtent l="0" t="0" r="7620" b="6985"/>
            <wp:docPr id="1861343068" name="Imagen 3" descr="Los cinco cardenales de las nuevas 'dubia' contra el P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cinco cardenales de las nuevas 'dubia' contra el P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95B0" w14:textId="77777777" w:rsidR="00B83DC3" w:rsidRPr="00B83DC3" w:rsidRDefault="00B83DC3" w:rsidP="00B83DC3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lastRenderedPageBreak/>
        <w:t>Los cinco cardenales de las nuevas '</w:t>
      </w:r>
      <w:proofErr w:type="spellStart"/>
      <w:r w:rsidRPr="00B83DC3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B83DC3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' contra el Papa </w:t>
      </w:r>
      <w:r w:rsidRPr="00B83DC3">
        <w:rPr>
          <w:rFonts w:ascii="Garamond" w:eastAsia="Times New Roman" w:hAnsi="Garamond" w:cs="Open Sans"/>
          <w:color w:val="8C8C8C"/>
          <w:kern w:val="0"/>
          <w:sz w:val="24"/>
          <w:szCs w:val="24"/>
          <w:lang w:eastAsia="es-MX"/>
          <w14:ligatures w14:val="none"/>
        </w:rPr>
        <w:t>RD</w:t>
      </w:r>
    </w:p>
    <w:p w14:paraId="4588615F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Por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ejemplp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cuando ellos le dicen que la Revelación es inmutable y no valen nuevas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interpretacions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él les dice que interpretar mejor es descubrir más su riqueza y expresarla mejor. Es lo mismo que tuvo que hacer Juan XXIII para conseguir que el giro de 180 grados del Vaticano segundo fuese aceptado por conservadores y progresistas igualmente: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 “Una cosa, dijo, es la sustancia del depósito de la fe y otra la manera como se expresa”.</w:t>
      </w:r>
    </w:p>
    <w:p w14:paraId="1C0C560D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Eso era lo mínimo que le perdonarían los más ultraconservadores. Pero era, al fin y al cabo “sustancialista”. Felizmente el Concilio fue más allá y optó por la evolución (Véase </w:t>
      </w:r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Dei Verbum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8 y </w:t>
      </w:r>
      <w:proofErr w:type="spellStart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Dignitatis</w:t>
      </w:r>
      <w:proofErr w:type="spellEnd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humanae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1 )</w:t>
      </w:r>
    </w:p>
    <w:p w14:paraId="204DF0B7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Las respuestas que dará la teología revisionista de mentalidad evolutiva tendrán que ser más radicales.</w:t>
      </w:r>
    </w:p>
    <w:p w14:paraId="69185499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Por ejemplo, cuando preguntan los “ultras” sobre la pecaminosidad “intrínseca y objetiva” de determinado comportamiento sexual según manuales de confesores o catecismos, no basta con decirles qu</w:t>
      </w:r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e “la caridad pastoral nos exige no tratar sin más de ‘pecadores’ a otras personas cuya culpabilidad o responsabilidad pueden estar atenuadas por diversos factores que influyen en la imputabilidad subjetiva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”. Hay que ir más lejos y cuestionar esas distinciones escolásticas de objetivo-subjetivo, sustancia y accidentes, etc. Hay que reconocer la evolución de las doctrinas que exige la revisión de catecismos y manuales de confesores de acuerdo con la creatividad que nos impone el Espíritu durante el camino sinodal de conversión y discernimiento.</w:t>
      </w:r>
    </w:p>
    <w:p w14:paraId="657273A8" w14:textId="3ED8BE52" w:rsidR="00B83DC3" w:rsidRPr="00B83DC3" w:rsidRDefault="00B83DC3" w:rsidP="00B83DC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4026F56D" wp14:editId="2A3142B4">
            <wp:extent cx="5612130" cy="3155315"/>
            <wp:effectExtent l="0" t="0" r="7620" b="6985"/>
            <wp:docPr id="1205741672" name="Imagen 2" descr="Código de derecho can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digo de derecho canón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A75" w14:textId="77777777" w:rsidR="00B83DC3" w:rsidRPr="00B83DC3" w:rsidRDefault="00B83DC3" w:rsidP="00B83DC3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Código de derecho canónico</w:t>
      </w:r>
    </w:p>
    <w:p w14:paraId="11889FF6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 Otro ejemplo, cuando los “ultras” preguntan sobre lo intocable del concepto canónico de matrimonio o lo indisoluble del vínculo, no basta con decirles que </w:t>
      </w:r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“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El Derecho canónico no debe ni puede abarcarlo todo</w:t>
      </w:r>
      <w:r w:rsidRPr="00B83DC3">
        <w:rPr>
          <w:rFonts w:ascii="Garamond" w:eastAsia="Times New Roman" w:hAnsi="Garamond" w:cs="Open Sans"/>
          <w:i/>
          <w:iCs/>
          <w:color w:val="474747"/>
          <w:kern w:val="0"/>
          <w:sz w:val="24"/>
          <w:szCs w:val="24"/>
          <w:lang w:eastAsia="es-MX"/>
          <w14:ligatures w14:val="none"/>
        </w:rPr>
        <w:t>”, y “la vida de la Iglesia corre por muchos cauces además de los normativos”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.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 Hay que ir más lejos y reconocer la necesidad imperiosa de revisar las normativas a nivel canónico de acuerdo con la evolución doctrinal que se exige a la altura de los tiempos.</w:t>
      </w:r>
    </w:p>
    <w:p w14:paraId="416D51BF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Me dirán que eso tiene peligro de relativismo e historicismo y quizás alguien sospeche que estoy influido por algún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sinodo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regional norte-europeo. Pues no, precisamente desde hace mucho tiempo que hice estas propuestas durante el papado de Juan Pablo II, 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me inspiro en un pensamiento evolutivo científico filosófico de autores de nuestro país tan cualificados como Xavier Zubiri, en su metafísica, Laín Entralgo en su Antropología y Diego Gracia en su Bioética,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así como en la teología moral que compartían en los 80 y 90 en </w:t>
      </w:r>
      <w:proofErr w:type="gram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Comillas  Javier</w:t>
      </w:r>
      <w:proofErr w:type="gram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Gafo, Marciano Vidal, Torres Queiruga y un largo etc...</w:t>
      </w:r>
    </w:p>
    <w:p w14:paraId="19E5DAC4" w14:textId="74270C1A" w:rsidR="00B83DC3" w:rsidRPr="00B83DC3" w:rsidRDefault="00B83DC3" w:rsidP="00B83DC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31A238C1" wp14:editId="3C53C12F">
            <wp:extent cx="5612130" cy="3155315"/>
            <wp:effectExtent l="0" t="0" r="7620" b="6985"/>
            <wp:docPr id="510809387" name="Imagen 1" descr="Los retos del Sínodo de la sinod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s retos del Sínodo de la sinodalid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4488" w14:textId="77777777" w:rsidR="00B83DC3" w:rsidRPr="00B83DC3" w:rsidRDefault="00B83DC3" w:rsidP="00B83DC3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Los retos del Sínodo de la sinodalidad</w:t>
      </w:r>
    </w:p>
    <w:p w14:paraId="657FD924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En resumen, tanto en filosofía, como en teología o en pastoral y espiritualidad, el giro decisivo es el de la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mentañlidad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sustancialista, estática y aislacionista a la mentalidad estructural, dinámica y relacional.  </w:t>
      </w:r>
    </w:p>
    <w:p w14:paraId="74BA1BB5" w14:textId="77777777" w:rsidR="00B83DC3" w:rsidRPr="00B83DC3" w:rsidRDefault="00B83DC3" w:rsidP="00B83DC3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Orando porque nos dejemos llevar del Espíritu durante el camino sinodal, asumo que no podemos abrigar grandes expectativas.</w:t>
      </w:r>
      <w:r w:rsidRPr="00B83DC3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 Incluso los más progresistas, a la hora de la verdad tienen miedo a la evolución de las doctrinas, no se atreven a combatir el estreñimiento por miedo a las diarreas.</w:t>
      </w:r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Pero no tengan miedo. La </w:t>
      </w:r>
      <w:proofErr w:type="spellStart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diarrera</w:t>
      </w:r>
      <w:proofErr w:type="spellEnd"/>
      <w:r w:rsidRPr="00B83DC3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como el sudor y otras expulsiones de lo que atasca el tráfico vital, son beneficiosas para la salud corpórea y psíquica...  </w:t>
      </w:r>
    </w:p>
    <w:p w14:paraId="56672F11" w14:textId="77777777" w:rsidR="00292BE3" w:rsidRPr="00B83DC3" w:rsidRDefault="00292BE3" w:rsidP="00B83DC3">
      <w:pPr>
        <w:jc w:val="both"/>
        <w:rPr>
          <w:rFonts w:ascii="Garamond" w:hAnsi="Garamond"/>
          <w:sz w:val="24"/>
          <w:szCs w:val="24"/>
        </w:rPr>
      </w:pPr>
    </w:p>
    <w:sectPr w:rsidR="00292BE3" w:rsidRPr="00B83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74A9"/>
    <w:multiLevelType w:val="multilevel"/>
    <w:tmpl w:val="8F1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23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3"/>
    <w:rsid w:val="00292BE3"/>
    <w:rsid w:val="008438E1"/>
    <w:rsid w:val="00B83DC3"/>
    <w:rsid w:val="00C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E0A4"/>
  <w15:chartTrackingRefBased/>
  <w15:docId w15:val="{D51EF277-CC70-4425-ADC7-8A37A5E3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83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B83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DC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B83DC3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kicker">
    <w:name w:val="kicker"/>
    <w:basedOn w:val="Fuentedeprrafopredeter"/>
    <w:rsid w:val="00B83DC3"/>
  </w:style>
  <w:style w:type="character" w:styleId="nfasis">
    <w:name w:val="Emphasis"/>
    <w:basedOn w:val="Fuentedeprrafopredeter"/>
    <w:uiPriority w:val="20"/>
    <w:qFormat/>
    <w:rsid w:val="00B83DC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83DC3"/>
    <w:rPr>
      <w:color w:val="0000FF"/>
      <w:u w:val="single"/>
    </w:rPr>
  </w:style>
  <w:style w:type="paragraph" w:customStyle="1" w:styleId="pg-bkn-dateline">
    <w:name w:val="pg-bkn-dateline"/>
    <w:basedOn w:val="Normal"/>
    <w:rsid w:val="00B8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mce">
    <w:name w:val="mce"/>
    <w:basedOn w:val="Normal"/>
    <w:rsid w:val="00B8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83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7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58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CC0000"/>
                            <w:left w:val="single" w:sz="36" w:space="0" w:color="CC0000"/>
                            <w:bottom w:val="single" w:sz="36" w:space="8" w:color="CC0000"/>
                            <w:right w:val="single" w:sz="36" w:space="0" w:color="CC0000"/>
                          </w:divBdr>
                        </w:div>
                        <w:div w:id="19882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CC0000"/>
                            <w:left w:val="single" w:sz="36" w:space="0" w:color="CC0000"/>
                            <w:bottom w:val="single" w:sz="36" w:space="8" w:color="CC0000"/>
                            <w:right w:val="single" w:sz="36" w:space="0" w:color="CC0000"/>
                          </w:divBdr>
                        </w:div>
                        <w:div w:id="6212261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9333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7498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uan_masi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Rosario Hermano</cp:lastModifiedBy>
  <cp:revision>2</cp:revision>
  <dcterms:created xsi:type="dcterms:W3CDTF">2023-10-04T13:45:00Z</dcterms:created>
  <dcterms:modified xsi:type="dcterms:W3CDTF">2023-10-04T13:45:00Z</dcterms:modified>
</cp:coreProperties>
</file>