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36F" w14:textId="77777777" w:rsidR="005D48CB" w:rsidRPr="005D48CB" w:rsidRDefault="005D48CB" w:rsidP="005D48CB">
      <w:pPr>
        <w:shd w:val="clear" w:color="auto" w:fill="FFFFFF"/>
        <w:spacing w:after="100" w:afterAutospacing="1" w:line="240" w:lineRule="auto"/>
        <w:outlineLvl w:val="4"/>
        <w:rPr>
          <w:rFonts w:ascii="bitterbold" w:eastAsia="Times New Roman" w:hAnsi="bitterbold" w:cs="Segoe UI"/>
          <w:color w:val="212529"/>
          <w:kern w:val="0"/>
          <w:sz w:val="20"/>
          <w:szCs w:val="20"/>
          <w:lang w:eastAsia="es-UY"/>
          <w14:ligatures w14:val="none"/>
        </w:rPr>
      </w:pPr>
      <w:r w:rsidRPr="005D48CB">
        <w:rPr>
          <w:rFonts w:ascii="bitterbold" w:eastAsia="Times New Roman" w:hAnsi="bitterbold" w:cs="Segoe UI"/>
          <w:color w:val="212529"/>
          <w:kern w:val="0"/>
          <w:sz w:val="20"/>
          <w:szCs w:val="20"/>
          <w:lang w:eastAsia="es-UY"/>
          <w14:ligatures w14:val="none"/>
        </w:rPr>
        <w:t>Pronunciamiento unánime</w:t>
      </w:r>
    </w:p>
    <w:p w14:paraId="3E5D4FF9" w14:textId="77777777" w:rsidR="005D48CB" w:rsidRPr="005D48CB" w:rsidRDefault="005D48CB" w:rsidP="005D48CB">
      <w:pPr>
        <w:shd w:val="clear" w:color="auto" w:fill="FFFFFF"/>
        <w:spacing w:after="900" w:line="240" w:lineRule="auto"/>
        <w:outlineLvl w:val="0"/>
        <w:rPr>
          <w:rFonts w:ascii="bitterextrabold" w:eastAsia="Times New Roman" w:hAnsi="bitterextrabold" w:cs="Segoe UI"/>
          <w:color w:val="212529"/>
          <w:kern w:val="36"/>
          <w:sz w:val="48"/>
          <w:szCs w:val="48"/>
          <w:lang w:eastAsia="es-UY"/>
          <w14:ligatures w14:val="none"/>
        </w:rPr>
      </w:pPr>
      <w:r w:rsidRPr="005D48CB">
        <w:rPr>
          <w:rFonts w:ascii="bitterextrabold" w:eastAsia="Times New Roman" w:hAnsi="bitterextrabold" w:cs="Segoe UI"/>
          <w:color w:val="212529"/>
          <w:kern w:val="36"/>
          <w:sz w:val="48"/>
          <w:szCs w:val="48"/>
          <w:lang w:eastAsia="es-UY"/>
          <w14:ligatures w14:val="none"/>
        </w:rPr>
        <w:t>Rechazo de la UBA al arancelamiento universitario</w:t>
      </w:r>
    </w:p>
    <w:p w14:paraId="1CD1C6AC" w14:textId="77777777" w:rsidR="005D48CB" w:rsidRPr="005D48CB" w:rsidRDefault="005D48CB" w:rsidP="005D48CB">
      <w:pPr>
        <w:shd w:val="clear" w:color="auto" w:fill="FFFFFF"/>
        <w:spacing w:after="600" w:line="240" w:lineRule="auto"/>
        <w:outlineLvl w:val="5"/>
        <w:rPr>
          <w:rFonts w:ascii="bitterbold" w:eastAsia="Times New Roman" w:hAnsi="bitterbold" w:cs="Segoe UI"/>
          <w:caps/>
          <w:color w:val="212529"/>
          <w:kern w:val="0"/>
          <w:sz w:val="15"/>
          <w:szCs w:val="15"/>
          <w:lang w:eastAsia="es-UY"/>
          <w14:ligatures w14:val="none"/>
        </w:rPr>
      </w:pPr>
      <w:r w:rsidRPr="005D48CB">
        <w:rPr>
          <w:rFonts w:ascii="bitterbold" w:eastAsia="Times New Roman" w:hAnsi="bitterbold" w:cs="Segoe UI"/>
          <w:caps/>
          <w:color w:val="212529"/>
          <w:kern w:val="0"/>
          <w:sz w:val="15"/>
          <w:szCs w:val="15"/>
          <w:lang w:eastAsia="es-UY"/>
          <w14:ligatures w14:val="none"/>
        </w:rPr>
        <w:t>JUEVES 16 DE NOVIEMBRE DE 2023</w:t>
      </w:r>
    </w:p>
    <w:p w14:paraId="36BF6557" w14:textId="77777777" w:rsidR="005D48CB" w:rsidRPr="005D48CB" w:rsidRDefault="005D48CB" w:rsidP="005D48CB">
      <w:pPr>
        <w:shd w:val="clear" w:color="auto" w:fill="FFFFFF"/>
        <w:spacing w:after="100" w:afterAutospacing="1" w:line="240" w:lineRule="auto"/>
        <w:rPr>
          <w:rFonts w:ascii="bittermedium" w:eastAsia="Times New Roman" w:hAnsi="bittermedium" w:cs="Segoe UI"/>
          <w:color w:val="212529"/>
          <w:kern w:val="0"/>
          <w:sz w:val="32"/>
          <w:szCs w:val="32"/>
          <w:lang w:eastAsia="es-UY"/>
          <w14:ligatures w14:val="none"/>
        </w:rPr>
      </w:pPr>
      <w:r w:rsidRPr="005D48CB">
        <w:rPr>
          <w:rFonts w:ascii="bittermedium" w:eastAsia="Times New Roman" w:hAnsi="bittermedium" w:cs="Segoe UI"/>
          <w:color w:val="212529"/>
          <w:kern w:val="0"/>
          <w:sz w:val="32"/>
          <w:szCs w:val="32"/>
          <w:lang w:eastAsia="es-UY"/>
          <w14:ligatures w14:val="none"/>
        </w:rPr>
        <w:t>El Consejo Superior de la Universidad de Buenos Aires se reunió de manera extraordinaria este jueves 16 de noviembre, y </w:t>
      </w:r>
      <w:r w:rsidRPr="005D48CB">
        <w:rPr>
          <w:rFonts w:ascii="bittermedium" w:eastAsia="Times New Roman" w:hAnsi="bittermedium" w:cs="Segoe UI"/>
          <w:b/>
          <w:bCs/>
          <w:color w:val="212529"/>
          <w:kern w:val="0"/>
          <w:sz w:val="32"/>
          <w:szCs w:val="32"/>
          <w:lang w:eastAsia="es-UY"/>
          <w14:ligatures w14:val="none"/>
        </w:rPr>
        <w:t xml:space="preserve">se pronunció unánimemente y de forma orgánica contra el arancelamiento de la educación pública y la utilización del sistema de </w:t>
      </w:r>
      <w:proofErr w:type="spellStart"/>
      <w:r w:rsidRPr="005D48CB">
        <w:rPr>
          <w:rFonts w:ascii="bittermedium" w:eastAsia="Times New Roman" w:hAnsi="bittermedium" w:cs="Segoe UI"/>
          <w:b/>
          <w:bCs/>
          <w:color w:val="212529"/>
          <w:kern w:val="0"/>
          <w:sz w:val="32"/>
          <w:szCs w:val="32"/>
          <w:lang w:eastAsia="es-UY"/>
          <w14:ligatures w14:val="none"/>
        </w:rPr>
        <w:t>vouchers</w:t>
      </w:r>
      <w:proofErr w:type="spellEnd"/>
      <w:r w:rsidRPr="005D48CB">
        <w:rPr>
          <w:rFonts w:ascii="bittermedium" w:eastAsia="Times New Roman" w:hAnsi="bittermedium" w:cs="Segoe UI"/>
          <w:color w:val="212529"/>
          <w:kern w:val="0"/>
          <w:sz w:val="32"/>
          <w:szCs w:val="32"/>
          <w:lang w:eastAsia="es-UY"/>
          <w14:ligatures w14:val="none"/>
        </w:rPr>
        <w:t>. </w:t>
      </w:r>
    </w:p>
    <w:p w14:paraId="679F7E90" w14:textId="77777777" w:rsidR="005D48CB" w:rsidRPr="005D48CB" w:rsidRDefault="005D48CB" w:rsidP="005D48CB">
      <w:pPr>
        <w:shd w:val="clear" w:color="auto" w:fill="FFFFFF"/>
        <w:spacing w:after="0" w:line="240" w:lineRule="auto"/>
        <w:rPr>
          <w:rFonts w:ascii="bitterregular" w:eastAsia="Times New Roman" w:hAnsi="bitterregular" w:cs="Segoe UI"/>
          <w:color w:val="212529"/>
          <w:kern w:val="0"/>
          <w:sz w:val="24"/>
          <w:szCs w:val="24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noProof/>
          <w:color w:val="212529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D2D8ABA" wp14:editId="48F7E1D4">
            <wp:extent cx="5174615" cy="2271081"/>
            <wp:effectExtent l="0" t="0" r="6985" b="0"/>
            <wp:docPr id="2" name="Imagen 1" descr="Un grupo de personas en un even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grupo de personas en un even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58" cy="22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50D9" w14:textId="77777777" w:rsidR="005D48CB" w:rsidRPr="005D48CB" w:rsidRDefault="005D48CB" w:rsidP="005D48CB">
      <w:pPr>
        <w:shd w:val="clear" w:color="auto" w:fill="FFFFFF"/>
        <w:spacing w:before="150" w:after="150" w:line="240" w:lineRule="auto"/>
        <w:rPr>
          <w:rFonts w:ascii="bitterregular" w:eastAsia="Times New Roman" w:hAnsi="bitterregular" w:cs="Segoe UI"/>
          <w:color w:val="212529"/>
          <w:kern w:val="0"/>
          <w:sz w:val="21"/>
          <w:szCs w:val="21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1"/>
          <w:szCs w:val="21"/>
          <w:lang w:eastAsia="es-UY"/>
          <w14:ligatures w14:val="none"/>
        </w:rPr>
        <w:t>El Consejo Superior en reunión extraordinaria</w:t>
      </w:r>
    </w:p>
    <w:p w14:paraId="35757C4F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Estas propuestas, expresadas durante la presente campaña presidencial, atacan directamente los principios y convicciones más básicas de esta casa de altos estudios. La Universidad de Buenos Aires ha enarbolado, desde la reforma de 1918, las banderas de la educación pública, gratuita y de calidad. Y hoy es un verdadero ejemplo en el mundo, como una institución inclusiva y de puertas abiertas, que puede formar profesionales de excelencia valorados internacionalmente en las más diversas disciplinas.</w:t>
      </w:r>
    </w:p>
    <w:p w14:paraId="772EB6B1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Por eso, la UBA declaró mediante una Resolución aprobada por unanimidad: </w:t>
      </w:r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 xml:space="preserve">“La preocupación de la comunidad universitaria ante el aumento y difusión de propuestas de arancelamiento de la educación superior y/o de sistemas de </w:t>
      </w:r>
      <w:proofErr w:type="spellStart"/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>vouchers</w:t>
      </w:r>
      <w:proofErr w:type="spellEnd"/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 xml:space="preserve"> educativos que colisionan con la responsabilidad indelegable del Estado sobre la educación en nuestro </w:t>
      </w:r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lastRenderedPageBreak/>
        <w:t>país y que son contrarias a la Constitución Nacional y a las leyes vigentes”.</w:t>
      </w:r>
    </w:p>
    <w:p w14:paraId="562395E4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En los considerandos, el Consejo recordó que la gratuidad asegura </w:t>
      </w:r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>“el acceso y permanencia, la igualdad de oportunidades sin discriminaciones sociales o económicas”, a la vez que advirtió que “</w:t>
      </w:r>
      <w:proofErr w:type="gramStart"/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>el avance de las propuestas de arancelamiento son</w:t>
      </w:r>
      <w:proofErr w:type="gramEnd"/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 xml:space="preserve"> inconstitucionales, contrarias al sistema legal vigente, y colisionan con los principios de progresividad y no regresividad, inadmisibles para el futuro de la educación superior”.</w:t>
      </w:r>
    </w:p>
    <w:p w14:paraId="2E3A33C1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Por su parte, el rector de la Universidad de Buenos Aires Ricardo Gelpi manifestó al respecto que </w:t>
      </w:r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>“Si estas políticas se llevaran adelante, la UBA tendría que cerrar sus puertas”.</w:t>
      </w:r>
    </w:p>
    <w:p w14:paraId="09E04A7C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b/>
          <w:bCs/>
          <w:color w:val="212529"/>
          <w:kern w:val="0"/>
          <w:sz w:val="26"/>
          <w:szCs w:val="26"/>
          <w:lang w:eastAsia="es-UY"/>
          <w14:ligatures w14:val="none"/>
        </w:rPr>
        <w:t>Acerca del Consejo Superior de la UBA</w:t>
      </w: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:</w:t>
      </w:r>
    </w:p>
    <w:p w14:paraId="7C962294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El Consejo Superior es el órgano de gobierno de la UBA. Está integrado por el rector, los decanos de las trece facultades y cinco representantes por cada uno de los claustros: profesores, graduados y estudiantes.</w:t>
      </w:r>
    </w:p>
    <w:p w14:paraId="26B97610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hyperlink r:id="rId5" w:history="1">
        <w:r w:rsidRPr="005D48CB">
          <w:rPr>
            <w:rFonts w:ascii="bitterbold" w:eastAsia="Times New Roman" w:hAnsi="bitterbold" w:cs="Segoe UI"/>
            <w:b/>
            <w:bCs/>
            <w:color w:val="0000FF"/>
            <w:kern w:val="0"/>
            <w:sz w:val="26"/>
            <w:szCs w:val="26"/>
            <w:u w:val="single"/>
            <w:lang w:eastAsia="es-UY"/>
            <w14:ligatures w14:val="none"/>
          </w:rPr>
          <w:t>-RESOLUCIÓN DEL CONSEJO SUPERIOR DE LA UBA</w:t>
        </w:r>
      </w:hyperlink>
    </w:p>
    <w:p w14:paraId="33F305AD" w14:textId="7B3A6ABE" w:rsid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  <w:r w:rsidRPr="005D48CB"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  <w:t> </w:t>
      </w:r>
      <w:hyperlink r:id="rId6" w:history="1">
        <w:r w:rsidRPr="002E61A2">
          <w:rPr>
            <w:rStyle w:val="Hipervnculo"/>
            <w:rFonts w:ascii="bitterregular" w:eastAsia="Times New Roman" w:hAnsi="bitterregular" w:cs="Segoe UI"/>
            <w:kern w:val="0"/>
            <w:sz w:val="26"/>
            <w:szCs w:val="26"/>
            <w:lang w:eastAsia="es-UY"/>
            <w14:ligatures w14:val="none"/>
          </w:rPr>
          <w:t>https://www.uba.ar/ubanoticias/noticias/191</w:t>
        </w:r>
      </w:hyperlink>
    </w:p>
    <w:p w14:paraId="118D48D4" w14:textId="77777777" w:rsidR="005D48CB" w:rsidRPr="005D48CB" w:rsidRDefault="005D48CB" w:rsidP="005D48CB">
      <w:pPr>
        <w:shd w:val="clear" w:color="auto" w:fill="FFFFFF"/>
        <w:spacing w:after="525" w:line="240" w:lineRule="auto"/>
        <w:jc w:val="both"/>
        <w:rPr>
          <w:rFonts w:ascii="bitterregular" w:eastAsia="Times New Roman" w:hAnsi="bitterregular" w:cs="Segoe UI"/>
          <w:color w:val="212529"/>
          <w:kern w:val="0"/>
          <w:sz w:val="26"/>
          <w:szCs w:val="26"/>
          <w:lang w:eastAsia="es-UY"/>
          <w14:ligatures w14:val="none"/>
        </w:rPr>
      </w:pPr>
    </w:p>
    <w:p w14:paraId="2B0BA35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extrabold">
    <w:altName w:val="Cambria"/>
    <w:panose1 w:val="00000000000000000000"/>
    <w:charset w:val="00"/>
    <w:family w:val="roman"/>
    <w:notTrueType/>
    <w:pitch w:val="default"/>
  </w:font>
  <w:font w:name="bittermedium">
    <w:altName w:val="Cambria"/>
    <w:panose1 w:val="00000000000000000000"/>
    <w:charset w:val="00"/>
    <w:family w:val="roman"/>
    <w:notTrueType/>
    <w:pitch w:val="default"/>
  </w:font>
  <w:font w:name="bitter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CB"/>
    <w:rsid w:val="005D48CB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595"/>
  <w15:chartTrackingRefBased/>
  <w15:docId w15:val="{A785E684-6D63-4ADE-B681-6572DFC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48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2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8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1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ba.ar/ubanoticias/noticias/191" TargetMode="External"/><Relationship Id="rId5" Type="http://schemas.openxmlformats.org/officeDocument/2006/relationships/hyperlink" Target="https://drive.google.com/file/d/1sJxLslMojFuYBEtLD0Wv2eLdpxG-VKbv/view?usp=sha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2023-11-17T13:28:00Z</dcterms:created>
  <dcterms:modified xsi:type="dcterms:W3CDTF">2023-11-17T13:29:00Z</dcterms:modified>
</cp:coreProperties>
</file>