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422" w:rsidRDefault="00D85422" w:rsidP="00D85422">
      <w:pPr>
        <w:shd w:val="clear" w:color="auto" w:fill="FFFFFF"/>
        <w:jc w:val="both"/>
        <w:outlineLvl w:val="1"/>
        <w:rPr>
          <w:rFonts w:ascii="Roboto" w:eastAsia="Times New Roman" w:hAnsi="Roboto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Roboto" w:eastAsia="Times New Roman" w:hAnsi="Roboto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Francisco nombra a dos latinoamericanas como consultoras de la Secretaría General del Sínodo</w:t>
      </w:r>
    </w:p>
    <w:p w:rsidR="00D85422" w:rsidRDefault="00D85422" w:rsidP="00D85422">
      <w:pPr>
        <w:shd w:val="clear" w:color="auto" w:fill="FFFFFF"/>
        <w:jc w:val="both"/>
        <w:outlineLvl w:val="1"/>
        <w:rPr>
          <w:rFonts w:ascii="Roboto" w:eastAsia="Times New Roman" w:hAnsi="Roboto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outlineLvl w:val="1"/>
        <w:rPr>
          <w:rFonts w:ascii="Roboto" w:eastAsia="Times New Roman" w:hAnsi="Roboto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[Por: Ángel Morillo | ADN </w:t>
      </w:r>
      <w:proofErr w:type="spellStart"/>
      <w:r>
        <w:rPr>
          <w:rFonts w:ascii="Roboto" w:eastAsia="Times New Roman" w:hAnsi="Roboto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Celam</w:t>
      </w:r>
      <w:proofErr w:type="spellEnd"/>
      <w:r>
        <w:rPr>
          <w:rFonts w:ascii="Roboto" w:eastAsia="Times New Roman" w:hAnsi="Roboto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]</w:t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ap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Roboto" w:eastAsia="Times New Roman" w:hAnsi="Roboto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Roboto" w:eastAsia="Times New Roman" w:hAnsi="Roboto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fldChar w:fldCharType="begin"/>
      </w:r>
      <w:r w:rsidRPr="00D85422">
        <w:rPr>
          <w:rFonts w:ascii="Roboto" w:eastAsia="Times New Roman" w:hAnsi="Roboto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instrText xml:space="preserve"> INCLUDEPICTURE "https://adn.celam.org/wp-content/uploads/2024/02/mujeres-celam-958x559.jpeg" \* MERGEFORMATINET </w:instrText>
      </w:r>
      <w:r w:rsidRPr="00D85422">
        <w:rPr>
          <w:rFonts w:ascii="Roboto" w:eastAsia="Times New Roman" w:hAnsi="Roboto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fldChar w:fldCharType="separate"/>
      </w:r>
      <w:r w:rsidRPr="00D85422">
        <w:rPr>
          <w:rFonts w:ascii="Roboto" w:eastAsia="Times New Roman" w:hAnsi="Roboto" w:cs="Times New Roman"/>
          <w:noProof/>
          <w:color w:val="000000" w:themeColor="text1"/>
          <w:kern w:val="0"/>
          <w:sz w:val="28"/>
          <w:szCs w:val="28"/>
          <w:lang w:eastAsia="es-MX"/>
          <w14:ligatures w14:val="none"/>
        </w:rPr>
        <w:drawing>
          <wp:inline distT="0" distB="0" distL="0" distR="0">
            <wp:extent cx="5612130" cy="3273425"/>
            <wp:effectExtent l="0" t="0" r="1270" b="3175"/>
            <wp:docPr id="9292948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422">
        <w:rPr>
          <w:rFonts w:ascii="Roboto" w:eastAsia="Times New Roman" w:hAnsi="Roboto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fldChar w:fldCharType="end"/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Este sábado, 17 de febrero, el Papa Francisco nombró consultores de la Secretaría General del Sínodo, </w:t>
      </w:r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entre los cuales están dos latinoamericanas, cercanas y ligadas al Consejo Episcopal Latinoamericano y Caribeño (</w:t>
      </w:r>
      <w:proofErr w:type="spellStart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Celam</w:t>
      </w:r>
      <w:proofErr w:type="spellEnd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).</w:t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Se trata de la hermana </w:t>
      </w:r>
      <w:proofErr w:type="spellStart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Birgit</w:t>
      </w:r>
      <w:proofErr w:type="spellEnd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Weiler</w:t>
      </w:r>
      <w:proofErr w:type="spellEnd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,</w:t>
      </w: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 religiosa de origen alemán, radicada hace 29 años en Perú, de la Congregación Hermanas Misioneras Médicas y profesora de teología de la Pontificia Universidad Católica del Perú; y de </w:t>
      </w:r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María Clara Lucchetti </w:t>
      </w:r>
      <w:proofErr w:type="spellStart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Bingemer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, profesora de teología de la Pontificia Universidad Católica de Río de Janeiro.</w:t>
      </w: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En el caso de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Weiler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, ella forma parte del Equipo de reflexión teológico-pastoral del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Celam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 y estuvo ligada al grupo de asesores del proceso de renovación de esta entidad entre 2019-2023, mientras que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Bingemer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 se integró en 2023 al Consejo de asesores del </w:t>
      </w:r>
      <w:hyperlink r:id="rId5" w:history="1">
        <w:r w:rsidRPr="00D85422">
          <w:rPr>
            <w:rFonts w:ascii="inherit" w:eastAsia="Times New Roman" w:hAnsi="inherit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es-MX"/>
            <w14:ligatures w14:val="none"/>
          </w:rPr>
          <w:t xml:space="preserve">Centro de Gestión del Conocimiento del </w:t>
        </w:r>
        <w:proofErr w:type="spellStart"/>
        <w:r w:rsidRPr="00D85422">
          <w:rPr>
            <w:rFonts w:ascii="inherit" w:eastAsia="Times New Roman" w:hAnsi="inherit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es-MX"/>
            <w14:ligatures w14:val="none"/>
          </w:rPr>
          <w:t>Celam</w:t>
        </w:r>
        <w:proofErr w:type="spellEnd"/>
        <w:r w:rsidRPr="00D85422">
          <w:rPr>
            <w:rFonts w:ascii="inherit" w:eastAsia="Times New Roman" w:hAnsi="inherit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es-MX"/>
            <w14:ligatures w14:val="none"/>
          </w:rPr>
          <w:t>.</w:t>
        </w:r>
      </w:hyperlink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lastRenderedPageBreak/>
        <w:t xml:space="preserve">Además de estas dos latinoamericanas, los nuevos integrantes, designados por el Santo Padre, son monseñor Alphonse Borras, vicario episcopal de la diócesis de Lieja (Bélgica); los sacerdotes Gilles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Routhier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, profesor de teología en la Universidad Laval (Canadá) y Ormond Rush, profesor Asociado de teología en la Universidad Católica Australiana y Tricia C. Bruce, presidenta electa de la Asociación de Sociología de la Religión de EE.UU.</w:t>
      </w:r>
    </w:p>
    <w:p w:rsidR="00D85422" w:rsidRDefault="00D85422" w:rsidP="00D85422">
      <w:pPr>
        <w:shd w:val="clear" w:color="auto" w:fill="FFFFFF"/>
        <w:jc w:val="both"/>
        <w:outlineLvl w:val="2"/>
        <w:rPr>
          <w:rFonts w:ascii="Roboto" w:eastAsia="Times New Roman" w:hAnsi="Roboto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outlineLvl w:val="2"/>
        <w:rPr>
          <w:rFonts w:ascii="Roboto" w:eastAsia="Times New Roman" w:hAnsi="Roboto" w:cs="Times New Roman"/>
          <w:b/>
          <w:bCs/>
          <w:color w:val="385623" w:themeColor="accent6" w:themeShade="80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Roboto" w:eastAsia="Times New Roman" w:hAnsi="Roboto" w:cs="Times New Roman"/>
          <w:b/>
          <w:bCs/>
          <w:color w:val="385623" w:themeColor="accent6" w:themeShade="80"/>
          <w:kern w:val="0"/>
          <w:sz w:val="28"/>
          <w:szCs w:val="28"/>
          <w:lang w:eastAsia="es-MX"/>
          <w14:ligatures w14:val="none"/>
        </w:rPr>
        <w:t>Teóloga y académica brasileña</w:t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María Clara Lucchetti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Bingemer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 fue vicepresidenta de la Sociedad de Teología y Ciencias Religiosas (SOTER) de Brasil e </w:t>
      </w:r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integrante de la comunidad académica de la antigua Escuela Social del </w:t>
      </w:r>
      <w:proofErr w:type="spellStart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Celam</w:t>
      </w:r>
      <w:proofErr w:type="spellEnd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.</w:t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Estudió comunicación social (1975) y es teóloga (1982) por la Pontificia Universidad Católica de Río de Janeiro (PUC-Río) y magister en teología (1985) hasta que en 1989 obtuvo el doctorado  en teología en la Universidad Gregoriana de Roma.</w:t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Actualmente es profesora titular del departamento de teología de la PUC-Río y coordina la cátedra Carlo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 Martini en la misma universidad. Además es una de los</w:t>
      </w:r>
      <w:hyperlink r:id="rId6" w:history="1">
        <w:r w:rsidRPr="00D85422">
          <w:rPr>
            <w:rFonts w:ascii="inherit" w:eastAsia="Times New Roman" w:hAnsi="inherit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es-MX"/>
            <w14:ligatures w14:val="none"/>
          </w:rPr>
          <w:t xml:space="preserve"> 21 consejeros del Centro de Gestión del Conocimiento del </w:t>
        </w:r>
        <w:proofErr w:type="spellStart"/>
        <w:r w:rsidRPr="00D85422">
          <w:rPr>
            <w:rFonts w:ascii="inherit" w:eastAsia="Times New Roman" w:hAnsi="inherit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es-MX"/>
            <w14:ligatures w14:val="none"/>
          </w:rPr>
          <w:t>Celam</w:t>
        </w:r>
        <w:proofErr w:type="spellEnd"/>
        <w:r w:rsidRPr="00D85422">
          <w:rPr>
            <w:rFonts w:ascii="inherit" w:eastAsia="Times New Roman" w:hAnsi="inherit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es-MX"/>
            <w14:ligatures w14:val="none"/>
          </w:rPr>
          <w:t>.</w:t>
        </w:r>
      </w:hyperlink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 Madre de tres hijos y abuela de cinco nietos.</w:t>
      </w:r>
    </w:p>
    <w:p w:rsidR="00D85422" w:rsidRDefault="00D85422" w:rsidP="00D85422">
      <w:pPr>
        <w:shd w:val="clear" w:color="auto" w:fill="FFFFFF"/>
        <w:jc w:val="both"/>
        <w:outlineLvl w:val="2"/>
        <w:rPr>
          <w:rFonts w:ascii="Roboto" w:eastAsia="Times New Roman" w:hAnsi="Roboto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outlineLvl w:val="2"/>
        <w:rPr>
          <w:rFonts w:ascii="Roboto" w:eastAsia="Times New Roman" w:hAnsi="Roboto" w:cs="Times New Roman"/>
          <w:b/>
          <w:bCs/>
          <w:color w:val="385623" w:themeColor="accent6" w:themeShade="80"/>
          <w:kern w:val="0"/>
          <w:sz w:val="32"/>
          <w:szCs w:val="32"/>
          <w:lang w:eastAsia="es-MX"/>
          <w14:ligatures w14:val="none"/>
        </w:rPr>
      </w:pPr>
      <w:r w:rsidRPr="00D85422">
        <w:rPr>
          <w:rFonts w:ascii="Roboto" w:eastAsia="Times New Roman" w:hAnsi="Roboto" w:cs="Times New Roman"/>
          <w:b/>
          <w:bCs/>
          <w:color w:val="385623" w:themeColor="accent6" w:themeShade="80"/>
          <w:kern w:val="0"/>
          <w:sz w:val="32"/>
          <w:szCs w:val="32"/>
          <w:lang w:eastAsia="es-MX"/>
          <w14:ligatures w14:val="none"/>
        </w:rPr>
        <w:t>Alemana con el corazón peruano</w:t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Birgit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Weiler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 nació en 1958 en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Duisburg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, al norte de Alemania. Estudió en Bochum, Frankfurt y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Tübingen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. En 1978 ingresó a la Congregación de las Hermanas Misioneras Médicas.</w:t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Lleva desde 1995 – 29 años – como misionera en la Amazonía peruana. Es teóloga y doctora en filosofía. </w:t>
      </w:r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Ha sido colaboradora de la Pastoral del Cuidado de los bienes de la creación de la Comisión Episcopal de Acción Social (CEAS) de Perú.</w:t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En 2011 recibió el premio Erwin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Kräutler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 otorgado por la Universidad de Salzburgo, Austria. Su misión como religiosa de las Hermanas Misioneras Médicas la ha enfocado por la protección del medio ambiente y por la paz. </w:t>
      </w: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lastRenderedPageBreak/>
        <w:t xml:space="preserve">De este modo fue consultora en el Sínodo </w:t>
      </w:r>
      <w:proofErr w:type="spellStart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panamazónico</w:t>
      </w:r>
      <w:proofErr w:type="spellEnd"/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 xml:space="preserve"> (2019) y participante del proceso de la Asamblea Eclesial (2021).</w:t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</w:pP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28"/>
          <w:szCs w:val="28"/>
          <w:lang w:eastAsia="es-MX"/>
          <w14:ligatures w14:val="none"/>
        </w:rPr>
        <w:t>Todas estas labores que ha combinado con su actividad docente y de investigación en la Pontificia Universidad Católica del Perú y </w:t>
      </w:r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como asesora permanente del Equipo de reflexión teológico-pastoral del </w:t>
      </w:r>
      <w:proofErr w:type="spellStart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Celam</w:t>
      </w:r>
      <w:proofErr w:type="spellEnd"/>
      <w:r w:rsidRPr="00D8542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.</w:t>
      </w:r>
    </w:p>
    <w:p w:rsid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</w:p>
    <w:p w:rsidR="00D85422" w:rsidRPr="00D85422" w:rsidRDefault="00D85422" w:rsidP="00D85422">
      <w:pPr>
        <w:shd w:val="clear" w:color="auto" w:fill="FFFFFF"/>
        <w:jc w:val="both"/>
        <w:rPr>
          <w:rFonts w:ascii="inherit" w:eastAsia="Times New Roman" w:hAnsi="inherit" w:cs="Times New Roman"/>
          <w:color w:val="000000" w:themeColor="text1"/>
          <w:kern w:val="0"/>
          <w:sz w:val="16"/>
          <w:szCs w:val="16"/>
          <w:lang w:eastAsia="es-MX"/>
          <w14:ligatures w14:val="none"/>
        </w:rPr>
      </w:pPr>
      <w:r w:rsidRPr="00D85422">
        <w:rPr>
          <w:rFonts w:ascii="inherit" w:eastAsia="Times New Roman" w:hAnsi="inherit" w:cs="Times New Roman"/>
          <w:color w:val="000000" w:themeColor="text1"/>
          <w:kern w:val="0"/>
          <w:sz w:val="16"/>
          <w:szCs w:val="16"/>
          <w:bdr w:val="none" w:sz="0" w:space="0" w:color="auto" w:frame="1"/>
          <w:lang w:eastAsia="es-MX"/>
          <w14:ligatures w14:val="none"/>
        </w:rPr>
        <w:t xml:space="preserve">Publicado en: </w:t>
      </w:r>
      <w:hyperlink r:id="rId7" w:history="1">
        <w:r w:rsidRPr="00D85422">
          <w:rPr>
            <w:rStyle w:val="Hipervnculo"/>
            <w:rFonts w:ascii="inherit" w:eastAsia="Times New Roman" w:hAnsi="inherit" w:cs="Times New Roman"/>
            <w:kern w:val="0"/>
            <w:sz w:val="16"/>
            <w:szCs w:val="16"/>
            <w:bdr w:val="none" w:sz="0" w:space="0" w:color="auto" w:frame="1"/>
            <w:lang w:eastAsia="es-MX"/>
            <w14:ligatures w14:val="none"/>
          </w:rPr>
          <w:t>https://adn.celam.org/francisco-nombra-a-dos-latinoamericanas-muy-ligadas-al-celam-como-consultoras-de-la-secretaria-general-del-sinodo/</w:t>
        </w:r>
      </w:hyperlink>
      <w:r w:rsidRPr="00D85422">
        <w:rPr>
          <w:rFonts w:ascii="inherit" w:eastAsia="Times New Roman" w:hAnsi="inherit" w:cs="Times New Roman"/>
          <w:color w:val="000000" w:themeColor="text1"/>
          <w:kern w:val="0"/>
          <w:sz w:val="16"/>
          <w:szCs w:val="16"/>
          <w:bdr w:val="none" w:sz="0" w:space="0" w:color="auto" w:frame="1"/>
          <w:lang w:eastAsia="es-MX"/>
          <w14:ligatures w14:val="none"/>
        </w:rPr>
        <w:t xml:space="preserve"> </w:t>
      </w:r>
    </w:p>
    <w:p w:rsidR="0074717C" w:rsidRPr="00D85422" w:rsidRDefault="0074717C" w:rsidP="00D85422">
      <w:pPr>
        <w:jc w:val="both"/>
        <w:rPr>
          <w:color w:val="000000" w:themeColor="text1"/>
          <w:sz w:val="28"/>
          <w:szCs w:val="28"/>
        </w:rPr>
      </w:pPr>
    </w:p>
    <w:sectPr w:rsidR="0074717C" w:rsidRPr="00D854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22"/>
    <w:rsid w:val="00522242"/>
    <w:rsid w:val="0074717C"/>
    <w:rsid w:val="00D8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4DF64"/>
  <w15:chartTrackingRefBased/>
  <w15:docId w15:val="{E3B80D75-4649-B34C-A348-6BC8D456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854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D8542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85422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85422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54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54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D8542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D8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15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5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n.celam.org/francisco-nombra-a-dos-latinoamericanas-muy-ligadas-al-celam-como-consultoras-de-la-secretaria-general-del-sino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n.celam.org/presidencia-del-celam-nombra-a-21-miembros-para-el-consejo-del-centro-de-gestion-del-conocimiento/" TargetMode="External"/><Relationship Id="rId5" Type="http://schemas.openxmlformats.org/officeDocument/2006/relationships/hyperlink" Target="https://adn.celam.org/presidencia-del-celam-nombra-a-21-miembros-para-el-consejo-del-centro-de-gestion-del-conocimiento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3208</Characters>
  <Application>Microsoft Office Word</Application>
  <DocSecurity>0</DocSecurity>
  <Lines>48</Lines>
  <Paragraphs>4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2024-02-18T20:58:00Z</dcterms:created>
  <dcterms:modified xsi:type="dcterms:W3CDTF">2024-02-18T21:00:00Z</dcterms:modified>
</cp:coreProperties>
</file>