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00" w:type="dxa"/>
        <w:shd w:val="clear" w:color="auto" w:fill="FFFFFF"/>
        <w:tblCellMar>
          <w:left w:w="0" w:type="dxa"/>
          <w:right w:w="0" w:type="dxa"/>
        </w:tblCellMar>
        <w:tblLook w:val="04A0" w:firstRow="1" w:lastRow="0" w:firstColumn="1" w:lastColumn="0" w:noHBand="0" w:noVBand="1"/>
      </w:tblPr>
      <w:tblGrid>
        <w:gridCol w:w="10290"/>
      </w:tblGrid>
      <w:tr w:rsidR="00AE182D" w:rsidRPr="00AE182D" w14:paraId="44C178B8" w14:textId="77777777" w:rsidTr="00AE182D">
        <w:tc>
          <w:tcPr>
            <w:tcW w:w="0" w:type="auto"/>
            <w:tcBorders>
              <w:top w:val="nil"/>
              <w:bottom w:val="nil"/>
            </w:tcBorders>
            <w:shd w:val="clear" w:color="auto" w:fill="FAFAFA"/>
            <w:tcMar>
              <w:top w:w="135" w:type="dxa"/>
              <w:left w:w="0" w:type="dxa"/>
              <w:bottom w:w="135" w:type="dxa"/>
              <w:right w:w="0" w:type="dxa"/>
            </w:tcMar>
            <w:hideMark/>
          </w:tcPr>
          <w:p w14:paraId="78FAB367" w14:textId="77777777" w:rsidR="00AE182D" w:rsidRPr="00AE182D" w:rsidRDefault="00AE182D" w:rsidP="00AE182D">
            <w:pPr>
              <w:spacing w:after="0" w:line="240" w:lineRule="auto"/>
              <w:rPr>
                <w:rFonts w:ascii="Times New Roman" w:eastAsia="Times New Roman" w:hAnsi="Times New Roman" w:cs="Times New Roman"/>
                <w:kern w:val="0"/>
                <w:sz w:val="24"/>
                <w:szCs w:val="24"/>
                <w:lang w:eastAsia="es-UY"/>
                <w14:ligatures w14:val="none"/>
              </w:rPr>
            </w:pPr>
          </w:p>
        </w:tc>
      </w:tr>
      <w:tr w:rsidR="00AE182D" w:rsidRPr="00AE182D" w14:paraId="57D21338" w14:textId="77777777" w:rsidTr="00AE182D">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10290"/>
            </w:tblGrid>
            <w:tr w:rsidR="00AE182D" w:rsidRPr="00AE182D" w14:paraId="6143FE0A"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020"/>
                  </w:tblGrid>
                  <w:tr w:rsidR="00AE182D" w:rsidRPr="00AE182D" w14:paraId="51A58786" w14:textId="77777777">
                    <w:tc>
                      <w:tcPr>
                        <w:tcW w:w="0" w:type="auto"/>
                        <w:tcMar>
                          <w:top w:w="0" w:type="dxa"/>
                          <w:left w:w="135" w:type="dxa"/>
                          <w:bottom w:w="0" w:type="dxa"/>
                          <w:right w:w="135" w:type="dxa"/>
                        </w:tcMar>
                        <w:hideMark/>
                      </w:tcPr>
                      <w:p w14:paraId="4D40FFE3" w14:textId="77777777" w:rsidR="00AE182D" w:rsidRPr="00AE182D" w:rsidRDefault="00AE182D" w:rsidP="00AE182D">
                        <w:pPr>
                          <w:spacing w:after="0" w:line="240" w:lineRule="auto"/>
                          <w:rPr>
                            <w:rFonts w:ascii="Times New Roman" w:eastAsia="Times New Roman" w:hAnsi="Times New Roman" w:cs="Times New Roman"/>
                            <w:kern w:val="0"/>
                            <w:sz w:val="20"/>
                            <w:szCs w:val="20"/>
                            <w:lang w:eastAsia="es-UY"/>
                            <w14:ligatures w14:val="none"/>
                          </w:rPr>
                        </w:pPr>
                        <w:r w:rsidRPr="00AE182D">
                          <w:rPr>
                            <w:rFonts w:ascii="Times New Roman" w:eastAsia="Times New Roman" w:hAnsi="Times New Roman" w:cs="Times New Roman"/>
                            <w:noProof/>
                            <w:kern w:val="0"/>
                            <w:sz w:val="20"/>
                            <w:szCs w:val="20"/>
                            <w:lang w:eastAsia="es-UY"/>
                            <w14:ligatures w14:val="none"/>
                          </w:rPr>
                          <w:drawing>
                            <wp:anchor distT="0" distB="0" distL="0" distR="0" simplePos="0" relativeHeight="251659264" behindDoc="0" locked="0" layoutInCell="1" allowOverlap="0" wp14:anchorId="143472F3" wp14:editId="05581A8A">
                              <wp:simplePos x="0" y="0"/>
                              <wp:positionH relativeFrom="column">
                                <wp:posOffset>-82550</wp:posOffset>
                              </wp:positionH>
                              <wp:positionV relativeFrom="line">
                                <wp:posOffset>361950</wp:posOffset>
                              </wp:positionV>
                              <wp:extent cx="6191250" cy="1015365"/>
                              <wp:effectExtent l="0" t="0" r="0" b="0"/>
                              <wp:wrapSquare wrapText="bothSides"/>
                              <wp:docPr id="577059634" name="Imagen 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059634" name="Imagen 2" descr="Imagen que contiene Texto&#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0" cy="10153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64CF446" w14:textId="77777777" w:rsidR="00AE182D" w:rsidRPr="00AE182D" w:rsidRDefault="00AE182D" w:rsidP="00AE182D">
                  <w:pPr>
                    <w:spacing w:after="0" w:line="240" w:lineRule="auto"/>
                    <w:rPr>
                      <w:rFonts w:ascii="Times New Roman" w:eastAsia="Times New Roman" w:hAnsi="Times New Roman" w:cs="Times New Roman"/>
                      <w:kern w:val="0"/>
                      <w:sz w:val="24"/>
                      <w:szCs w:val="24"/>
                      <w:lang w:eastAsia="es-UY"/>
                      <w14:ligatures w14:val="none"/>
                    </w:rPr>
                  </w:pPr>
                </w:p>
              </w:tc>
            </w:tr>
          </w:tbl>
          <w:p w14:paraId="0875B2F5" w14:textId="77777777" w:rsidR="00AE182D" w:rsidRPr="00AE182D" w:rsidRDefault="00AE182D" w:rsidP="00AE182D">
            <w:pPr>
              <w:spacing w:after="0" w:line="240" w:lineRule="auto"/>
              <w:rPr>
                <w:rFonts w:ascii="Helvetica" w:eastAsia="Times New Roman" w:hAnsi="Helvetica" w:cs="Times New Roman"/>
                <w:vanish/>
                <w:color w:val="26282A"/>
                <w:kern w:val="0"/>
                <w:sz w:val="20"/>
                <w:szCs w:val="20"/>
                <w:lang w:eastAsia="es-UY"/>
                <w14:ligatures w14:val="none"/>
              </w:rPr>
            </w:pPr>
          </w:p>
          <w:tbl>
            <w:tblPr>
              <w:tblW w:w="5000" w:type="pct"/>
              <w:tblCellMar>
                <w:left w:w="0" w:type="dxa"/>
                <w:right w:w="0" w:type="dxa"/>
              </w:tblCellMar>
              <w:tblLook w:val="04A0" w:firstRow="1" w:lastRow="0" w:firstColumn="1" w:lastColumn="0" w:noHBand="0" w:noVBand="1"/>
            </w:tblPr>
            <w:tblGrid>
              <w:gridCol w:w="10290"/>
            </w:tblGrid>
            <w:tr w:rsidR="00AE182D" w:rsidRPr="00AE182D" w14:paraId="1A7FEB6D" w14:textId="77777777">
              <w:tc>
                <w:tcPr>
                  <w:tcW w:w="0" w:type="auto"/>
                  <w:tcMar>
                    <w:top w:w="180" w:type="dxa"/>
                    <w:left w:w="270" w:type="dxa"/>
                    <w:bottom w:w="33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9750"/>
                  </w:tblGrid>
                  <w:tr w:rsidR="00AE182D" w:rsidRPr="00AE182D" w14:paraId="28B5A374" w14:textId="77777777">
                    <w:tc>
                      <w:tcPr>
                        <w:tcW w:w="0" w:type="auto"/>
                        <w:vAlign w:val="center"/>
                        <w:hideMark/>
                      </w:tcPr>
                      <w:p w14:paraId="265F1502" w14:textId="77777777" w:rsidR="00AE182D" w:rsidRPr="00AE182D" w:rsidRDefault="00AE182D" w:rsidP="00AE182D">
                        <w:pPr>
                          <w:spacing w:after="0" w:line="240" w:lineRule="auto"/>
                          <w:rPr>
                            <w:rFonts w:ascii="Helvetica" w:eastAsia="Times New Roman" w:hAnsi="Helvetica" w:cs="Times New Roman"/>
                            <w:color w:val="26282A"/>
                            <w:kern w:val="0"/>
                            <w:sz w:val="20"/>
                            <w:szCs w:val="20"/>
                            <w:lang w:eastAsia="es-UY"/>
                            <w14:ligatures w14:val="none"/>
                          </w:rPr>
                        </w:pPr>
                      </w:p>
                    </w:tc>
                  </w:tr>
                </w:tbl>
                <w:p w14:paraId="5B4C55AE" w14:textId="77777777" w:rsidR="00AE182D" w:rsidRPr="00AE182D" w:rsidRDefault="00AE182D" w:rsidP="00AE182D">
                  <w:pPr>
                    <w:spacing w:after="0" w:line="240" w:lineRule="auto"/>
                    <w:rPr>
                      <w:rFonts w:ascii="Times New Roman" w:eastAsia="Times New Roman" w:hAnsi="Times New Roman" w:cs="Times New Roman"/>
                      <w:kern w:val="0"/>
                      <w:sz w:val="24"/>
                      <w:szCs w:val="24"/>
                      <w:lang w:eastAsia="es-UY"/>
                      <w14:ligatures w14:val="none"/>
                    </w:rPr>
                  </w:pPr>
                </w:p>
              </w:tc>
            </w:tr>
          </w:tbl>
          <w:p w14:paraId="387767B3" w14:textId="77777777" w:rsidR="00AE182D" w:rsidRPr="00AE182D" w:rsidRDefault="00AE182D" w:rsidP="00AE182D">
            <w:pPr>
              <w:spacing w:after="0" w:line="240" w:lineRule="auto"/>
              <w:rPr>
                <w:rFonts w:ascii="Helvetica" w:eastAsia="Times New Roman" w:hAnsi="Helvetica" w:cs="Times New Roman"/>
                <w:color w:val="26282A"/>
                <w:kern w:val="0"/>
                <w:sz w:val="20"/>
                <w:szCs w:val="20"/>
                <w:lang w:eastAsia="es-UY"/>
                <w14:ligatures w14:val="none"/>
              </w:rPr>
            </w:pPr>
          </w:p>
        </w:tc>
      </w:tr>
      <w:tr w:rsidR="00AE182D" w:rsidRPr="00AE182D" w14:paraId="1B3AA823" w14:textId="77777777" w:rsidTr="00AE182D">
        <w:tc>
          <w:tcPr>
            <w:tcW w:w="0" w:type="auto"/>
            <w:tcBorders>
              <w:top w:val="nil"/>
              <w:bottom w:val="nil"/>
            </w:tcBorders>
            <w:shd w:val="clear" w:color="auto" w:fill="FFFFFF"/>
            <w:hideMark/>
          </w:tcPr>
          <w:tbl>
            <w:tblPr>
              <w:tblW w:w="5000" w:type="pct"/>
              <w:tblCellMar>
                <w:left w:w="0" w:type="dxa"/>
                <w:right w:w="0" w:type="dxa"/>
              </w:tblCellMar>
              <w:tblLook w:val="04A0" w:firstRow="1" w:lastRow="0" w:firstColumn="1" w:lastColumn="0" w:noHBand="0" w:noVBand="1"/>
            </w:tblPr>
            <w:tblGrid>
              <w:gridCol w:w="10290"/>
            </w:tblGrid>
            <w:tr w:rsidR="00AE182D" w:rsidRPr="00AE182D" w14:paraId="7A3FF40F"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290"/>
                  </w:tblGrid>
                  <w:tr w:rsidR="00AE182D" w:rsidRPr="00AE182D" w14:paraId="54FC8AF5" w14:textId="77777777">
                    <w:tc>
                      <w:tcPr>
                        <w:tcW w:w="0" w:type="auto"/>
                        <w:tcMar>
                          <w:top w:w="0" w:type="dxa"/>
                          <w:left w:w="270" w:type="dxa"/>
                          <w:bottom w:w="135" w:type="dxa"/>
                          <w:right w:w="270" w:type="dxa"/>
                        </w:tcMar>
                        <w:hideMark/>
                      </w:tcPr>
                      <w:p w14:paraId="31383957" w14:textId="77777777" w:rsidR="00AE182D" w:rsidRPr="00AE182D" w:rsidRDefault="00AE182D" w:rsidP="00AE182D">
                        <w:pPr>
                          <w:spacing w:after="0" w:line="360" w:lineRule="atLeast"/>
                          <w:rPr>
                            <w:rFonts w:ascii="Helvetica" w:eastAsia="Times New Roman" w:hAnsi="Helvetica" w:cs="Times New Roman"/>
                            <w:color w:val="95A723"/>
                            <w:kern w:val="0"/>
                            <w:sz w:val="24"/>
                            <w:szCs w:val="24"/>
                            <w:lang w:eastAsia="es-UY"/>
                            <w14:ligatures w14:val="none"/>
                          </w:rPr>
                        </w:pPr>
                        <w:r w:rsidRPr="00AE182D">
                          <w:rPr>
                            <w:rFonts w:ascii="Helvetica" w:eastAsia="Times New Roman" w:hAnsi="Helvetica" w:cs="Times New Roman"/>
                            <w:b/>
                            <w:bCs/>
                            <w:color w:val="95A723"/>
                            <w:kern w:val="0"/>
                            <w:sz w:val="24"/>
                            <w:szCs w:val="24"/>
                            <w:lang w:eastAsia="es-UY"/>
                            <w14:ligatures w14:val="none"/>
                          </w:rPr>
                          <w:t>TIP 512 del día</w:t>
                        </w:r>
                      </w:p>
                    </w:tc>
                  </w:tr>
                </w:tbl>
                <w:p w14:paraId="776BB65D" w14:textId="77777777" w:rsidR="00AE182D" w:rsidRPr="00AE182D" w:rsidRDefault="00AE182D" w:rsidP="00AE182D">
                  <w:pPr>
                    <w:spacing w:after="0" w:line="240" w:lineRule="auto"/>
                    <w:rPr>
                      <w:rFonts w:ascii="Times New Roman" w:eastAsia="Times New Roman" w:hAnsi="Times New Roman" w:cs="Times New Roman"/>
                      <w:kern w:val="0"/>
                      <w:sz w:val="24"/>
                      <w:szCs w:val="24"/>
                      <w:lang w:eastAsia="es-UY"/>
                      <w14:ligatures w14:val="none"/>
                    </w:rPr>
                  </w:pPr>
                </w:p>
              </w:tc>
            </w:tr>
          </w:tbl>
          <w:p w14:paraId="0282E168" w14:textId="77777777" w:rsidR="00AE182D" w:rsidRPr="00AE182D" w:rsidRDefault="00AE182D" w:rsidP="00AE182D">
            <w:pPr>
              <w:spacing w:after="0" w:line="240" w:lineRule="auto"/>
              <w:rPr>
                <w:rFonts w:ascii="Helvetica" w:eastAsia="Times New Roman" w:hAnsi="Helvetica" w:cs="Times New Roman"/>
                <w:vanish/>
                <w:color w:val="26282A"/>
                <w:kern w:val="0"/>
                <w:sz w:val="20"/>
                <w:szCs w:val="20"/>
                <w:lang w:eastAsia="es-UY"/>
                <w14:ligatures w14:val="none"/>
              </w:rPr>
            </w:pPr>
          </w:p>
          <w:tbl>
            <w:tblPr>
              <w:tblW w:w="5000" w:type="pct"/>
              <w:tblCellMar>
                <w:left w:w="0" w:type="dxa"/>
                <w:right w:w="0" w:type="dxa"/>
              </w:tblCellMar>
              <w:tblLook w:val="04A0" w:firstRow="1" w:lastRow="0" w:firstColumn="1" w:lastColumn="0" w:noHBand="0" w:noVBand="1"/>
            </w:tblPr>
            <w:tblGrid>
              <w:gridCol w:w="10290"/>
            </w:tblGrid>
            <w:tr w:rsidR="00AE182D" w:rsidRPr="00AE182D" w14:paraId="0710C658"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290"/>
                  </w:tblGrid>
                  <w:tr w:rsidR="00AE182D" w:rsidRPr="00AE182D" w14:paraId="21070D26" w14:textId="77777777">
                    <w:tc>
                      <w:tcPr>
                        <w:tcW w:w="0" w:type="auto"/>
                        <w:tcMar>
                          <w:top w:w="0" w:type="dxa"/>
                          <w:left w:w="270" w:type="dxa"/>
                          <w:bottom w:w="135" w:type="dxa"/>
                          <w:right w:w="270" w:type="dxa"/>
                        </w:tcMar>
                        <w:hideMark/>
                      </w:tcPr>
                      <w:p w14:paraId="720E134B" w14:textId="77777777" w:rsidR="00AE182D" w:rsidRPr="00AE182D" w:rsidRDefault="00AE182D" w:rsidP="00AE182D">
                        <w:pPr>
                          <w:spacing w:before="150" w:after="150" w:line="360" w:lineRule="atLeast"/>
                          <w:rPr>
                            <w:rFonts w:ascii="Helvetica" w:eastAsia="Times New Roman" w:hAnsi="Helvetica" w:cs="Times New Roman"/>
                            <w:b/>
                            <w:bCs/>
                            <w:color w:val="005A70"/>
                            <w:kern w:val="0"/>
                            <w:sz w:val="36"/>
                            <w:szCs w:val="36"/>
                            <w:lang w:eastAsia="es-UY"/>
                            <w14:ligatures w14:val="none"/>
                          </w:rPr>
                        </w:pPr>
                        <w:r w:rsidRPr="00AE182D">
                          <w:rPr>
                            <w:rFonts w:ascii="Helvetica" w:eastAsia="Times New Roman" w:hAnsi="Helvetica" w:cs="Times New Roman"/>
                            <w:b/>
                            <w:bCs/>
                            <w:color w:val="005A70"/>
                            <w:kern w:val="0"/>
                            <w:sz w:val="36"/>
                            <w:szCs w:val="36"/>
                            <w:lang w:eastAsia="es-UY"/>
                            <w14:ligatures w14:val="none"/>
                          </w:rPr>
                          <w:t>Celebrando a la Mujer desde el Aula</w:t>
                        </w:r>
                      </w:p>
                    </w:tc>
                  </w:tr>
                </w:tbl>
                <w:p w14:paraId="269040C0" w14:textId="77777777" w:rsidR="00AE182D" w:rsidRPr="00AE182D" w:rsidRDefault="00AE182D" w:rsidP="00AE182D">
                  <w:pPr>
                    <w:spacing w:after="0" w:line="240" w:lineRule="auto"/>
                    <w:rPr>
                      <w:rFonts w:ascii="Times New Roman" w:eastAsia="Times New Roman" w:hAnsi="Times New Roman" w:cs="Times New Roman"/>
                      <w:kern w:val="0"/>
                      <w:sz w:val="24"/>
                      <w:szCs w:val="24"/>
                      <w:lang w:eastAsia="es-UY"/>
                      <w14:ligatures w14:val="none"/>
                    </w:rPr>
                  </w:pPr>
                </w:p>
              </w:tc>
            </w:tr>
          </w:tbl>
          <w:p w14:paraId="2995C11D" w14:textId="77777777" w:rsidR="00AE182D" w:rsidRPr="00AE182D" w:rsidRDefault="00AE182D" w:rsidP="00AE182D">
            <w:pPr>
              <w:spacing w:after="0" w:line="240" w:lineRule="auto"/>
              <w:rPr>
                <w:rFonts w:ascii="Helvetica" w:eastAsia="Times New Roman" w:hAnsi="Helvetica" w:cs="Times New Roman"/>
                <w:vanish/>
                <w:color w:val="26282A"/>
                <w:kern w:val="0"/>
                <w:sz w:val="20"/>
                <w:szCs w:val="20"/>
                <w:lang w:eastAsia="es-UY"/>
                <w14:ligatures w14:val="none"/>
              </w:rPr>
            </w:pPr>
          </w:p>
          <w:tbl>
            <w:tblPr>
              <w:tblW w:w="5000" w:type="pct"/>
              <w:tblCellMar>
                <w:left w:w="0" w:type="dxa"/>
                <w:right w:w="0" w:type="dxa"/>
              </w:tblCellMar>
              <w:tblLook w:val="04A0" w:firstRow="1" w:lastRow="0" w:firstColumn="1" w:lastColumn="0" w:noHBand="0" w:noVBand="1"/>
            </w:tblPr>
            <w:tblGrid>
              <w:gridCol w:w="10290"/>
            </w:tblGrid>
            <w:tr w:rsidR="00AE182D" w:rsidRPr="00AE182D" w14:paraId="15241FE5"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290"/>
                  </w:tblGrid>
                  <w:tr w:rsidR="00AE182D" w:rsidRPr="00AE182D" w14:paraId="778C03D4" w14:textId="77777777">
                    <w:tc>
                      <w:tcPr>
                        <w:tcW w:w="0" w:type="auto"/>
                        <w:tcMar>
                          <w:top w:w="135" w:type="dxa"/>
                          <w:left w:w="270" w:type="dxa"/>
                          <w:bottom w:w="135" w:type="dxa"/>
                          <w:right w:w="270" w:type="dxa"/>
                        </w:tcMar>
                        <w:vAlign w:val="center"/>
                        <w:hideMark/>
                      </w:tcPr>
                      <w:tbl>
                        <w:tblPr>
                          <w:tblW w:w="5000" w:type="pct"/>
                          <w:shd w:val="clear" w:color="auto" w:fill="005A70"/>
                          <w:tblCellMar>
                            <w:top w:w="15" w:type="dxa"/>
                            <w:left w:w="15" w:type="dxa"/>
                            <w:bottom w:w="15" w:type="dxa"/>
                            <w:right w:w="15" w:type="dxa"/>
                          </w:tblCellMar>
                          <w:tblLook w:val="04A0" w:firstRow="1" w:lastRow="0" w:firstColumn="1" w:lastColumn="0" w:noHBand="0" w:noVBand="1"/>
                        </w:tblPr>
                        <w:tblGrid>
                          <w:gridCol w:w="9750"/>
                        </w:tblGrid>
                        <w:tr w:rsidR="00AE182D" w:rsidRPr="00AE182D" w14:paraId="5BB516B2" w14:textId="77777777">
                          <w:tc>
                            <w:tcPr>
                              <w:tcW w:w="0" w:type="auto"/>
                              <w:shd w:val="clear" w:color="auto" w:fill="005A70"/>
                              <w:tcMar>
                                <w:top w:w="270" w:type="dxa"/>
                                <w:left w:w="270" w:type="dxa"/>
                                <w:bottom w:w="270" w:type="dxa"/>
                                <w:right w:w="270" w:type="dxa"/>
                              </w:tcMar>
                              <w:hideMark/>
                            </w:tcPr>
                            <w:p w14:paraId="711E3047" w14:textId="77777777" w:rsidR="00AE182D" w:rsidRPr="00AE182D" w:rsidRDefault="00AE182D" w:rsidP="00AE182D">
                              <w:pPr>
                                <w:spacing w:before="150" w:after="150" w:line="315" w:lineRule="atLeast"/>
                                <w:rPr>
                                  <w:rFonts w:ascii="Helvetica" w:eastAsia="Times New Roman" w:hAnsi="Helvetica" w:cs="Times New Roman"/>
                                  <w:color w:val="F2F2F2"/>
                                  <w:kern w:val="0"/>
                                  <w:sz w:val="21"/>
                                  <w:szCs w:val="21"/>
                                  <w:lang w:eastAsia="es-UY"/>
                                  <w14:ligatures w14:val="none"/>
                                </w:rPr>
                              </w:pPr>
                              <w:r w:rsidRPr="00AE182D">
                                <w:rPr>
                                  <w:rFonts w:ascii="Helvetica" w:eastAsia="Times New Roman" w:hAnsi="Helvetica" w:cs="Times New Roman"/>
                                  <w:i/>
                                  <w:iCs/>
                                  <w:color w:val="F2F2F2"/>
                                  <w:kern w:val="0"/>
                                  <w:sz w:val="21"/>
                                  <w:szCs w:val="21"/>
                                  <w:lang w:eastAsia="es-UY"/>
                                  <w14:ligatures w14:val="none"/>
                                </w:rPr>
                                <w:t>“Hay una mujer al principio de todas las grandes cosas” </w:t>
                              </w:r>
                            </w:p>
                            <w:p w14:paraId="2E2EFD38" w14:textId="77777777" w:rsidR="00AE182D" w:rsidRPr="00AE182D" w:rsidRDefault="00AE182D" w:rsidP="00AE182D">
                              <w:pPr>
                                <w:spacing w:before="150" w:after="150" w:line="315" w:lineRule="atLeast"/>
                                <w:rPr>
                                  <w:rFonts w:ascii="Helvetica" w:eastAsia="Times New Roman" w:hAnsi="Helvetica" w:cs="Times New Roman"/>
                                  <w:color w:val="F2F2F2"/>
                                  <w:kern w:val="0"/>
                                  <w:sz w:val="21"/>
                                  <w:szCs w:val="21"/>
                                  <w:lang w:eastAsia="es-UY"/>
                                  <w14:ligatures w14:val="none"/>
                                </w:rPr>
                              </w:pPr>
                              <w:r w:rsidRPr="00AE182D">
                                <w:rPr>
                                  <w:rFonts w:ascii="Helvetica" w:eastAsia="Times New Roman" w:hAnsi="Helvetica" w:cs="Times New Roman"/>
                                  <w:i/>
                                  <w:iCs/>
                                  <w:color w:val="F2F2F2"/>
                                  <w:kern w:val="0"/>
                                  <w:sz w:val="21"/>
                                  <w:szCs w:val="21"/>
                                  <w:lang w:eastAsia="es-UY"/>
                                  <w14:ligatures w14:val="none"/>
                                </w:rPr>
                                <w:t>Alphonse de Lamartine</w:t>
                              </w:r>
                            </w:p>
                          </w:tc>
                        </w:tr>
                      </w:tbl>
                      <w:p w14:paraId="4D34A433" w14:textId="77777777" w:rsidR="00AE182D" w:rsidRPr="00AE182D" w:rsidRDefault="00AE182D" w:rsidP="00AE182D">
                        <w:pPr>
                          <w:spacing w:after="0" w:line="240" w:lineRule="auto"/>
                          <w:rPr>
                            <w:rFonts w:ascii="Times New Roman" w:eastAsia="Times New Roman" w:hAnsi="Times New Roman" w:cs="Times New Roman"/>
                            <w:kern w:val="0"/>
                            <w:sz w:val="24"/>
                            <w:szCs w:val="24"/>
                            <w:lang w:eastAsia="es-UY"/>
                            <w14:ligatures w14:val="none"/>
                          </w:rPr>
                        </w:pPr>
                      </w:p>
                    </w:tc>
                  </w:tr>
                </w:tbl>
                <w:p w14:paraId="517BCAE9" w14:textId="77777777" w:rsidR="00AE182D" w:rsidRPr="00AE182D" w:rsidRDefault="00AE182D" w:rsidP="00AE182D">
                  <w:pPr>
                    <w:spacing w:after="0" w:line="240" w:lineRule="auto"/>
                    <w:rPr>
                      <w:rFonts w:ascii="Times New Roman" w:eastAsia="Times New Roman" w:hAnsi="Times New Roman" w:cs="Times New Roman"/>
                      <w:kern w:val="0"/>
                      <w:sz w:val="24"/>
                      <w:szCs w:val="24"/>
                      <w:lang w:eastAsia="es-UY"/>
                      <w14:ligatures w14:val="none"/>
                    </w:rPr>
                  </w:pPr>
                </w:p>
              </w:tc>
            </w:tr>
          </w:tbl>
          <w:p w14:paraId="25E8401A" w14:textId="77777777" w:rsidR="00AE182D" w:rsidRPr="00AE182D" w:rsidRDefault="00AE182D" w:rsidP="00AE182D">
            <w:pPr>
              <w:spacing w:after="0" w:line="240" w:lineRule="auto"/>
              <w:rPr>
                <w:rFonts w:ascii="Helvetica" w:eastAsia="Times New Roman" w:hAnsi="Helvetica" w:cs="Times New Roman"/>
                <w:vanish/>
                <w:color w:val="26282A"/>
                <w:kern w:val="0"/>
                <w:sz w:val="20"/>
                <w:szCs w:val="20"/>
                <w:lang w:eastAsia="es-UY"/>
                <w14:ligatures w14:val="none"/>
              </w:rPr>
            </w:pPr>
          </w:p>
          <w:tbl>
            <w:tblPr>
              <w:tblW w:w="5000" w:type="pct"/>
              <w:tblCellMar>
                <w:left w:w="0" w:type="dxa"/>
                <w:right w:w="0" w:type="dxa"/>
              </w:tblCellMar>
              <w:tblLook w:val="04A0" w:firstRow="1" w:lastRow="0" w:firstColumn="1" w:lastColumn="0" w:noHBand="0" w:noVBand="1"/>
            </w:tblPr>
            <w:tblGrid>
              <w:gridCol w:w="10290"/>
            </w:tblGrid>
            <w:tr w:rsidR="00AE182D" w:rsidRPr="00AE182D" w14:paraId="3D37A609"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290"/>
                  </w:tblGrid>
                  <w:tr w:rsidR="00AE182D" w:rsidRPr="00AE182D" w14:paraId="63EB4A2D" w14:textId="77777777">
                    <w:tc>
                      <w:tcPr>
                        <w:tcW w:w="0" w:type="auto"/>
                        <w:tcMar>
                          <w:top w:w="0" w:type="dxa"/>
                          <w:left w:w="270" w:type="dxa"/>
                          <w:bottom w:w="135" w:type="dxa"/>
                          <w:right w:w="270" w:type="dxa"/>
                        </w:tcMar>
                        <w:hideMark/>
                      </w:tcPr>
                      <w:p w14:paraId="59EFE9DB" w14:textId="0D3702CA" w:rsidR="00AE182D" w:rsidRPr="00AE182D" w:rsidRDefault="00AE182D" w:rsidP="00AE182D">
                        <w:pPr>
                          <w:spacing w:before="150" w:after="150" w:line="315" w:lineRule="atLeast"/>
                          <w:jc w:val="both"/>
                          <w:rPr>
                            <w:rFonts w:ascii="Merriweather" w:eastAsia="Times New Roman" w:hAnsi="Merriweather" w:cs="Times New Roman"/>
                            <w:color w:val="005A70"/>
                            <w:kern w:val="0"/>
                            <w:sz w:val="21"/>
                            <w:szCs w:val="21"/>
                            <w:lang w:eastAsia="es-UY"/>
                            <w14:ligatures w14:val="none"/>
                          </w:rPr>
                        </w:pPr>
                      </w:p>
                    </w:tc>
                  </w:tr>
                </w:tbl>
                <w:p w14:paraId="54899576" w14:textId="77777777" w:rsidR="00AE182D" w:rsidRPr="00AE182D" w:rsidRDefault="00AE182D" w:rsidP="00AE182D">
                  <w:pPr>
                    <w:spacing w:after="0" w:line="240" w:lineRule="auto"/>
                    <w:rPr>
                      <w:rFonts w:ascii="Times New Roman" w:eastAsia="Times New Roman" w:hAnsi="Times New Roman" w:cs="Times New Roman"/>
                      <w:kern w:val="0"/>
                      <w:sz w:val="24"/>
                      <w:szCs w:val="24"/>
                      <w:lang w:eastAsia="es-UY"/>
                      <w14:ligatures w14:val="none"/>
                    </w:rPr>
                  </w:pPr>
                </w:p>
              </w:tc>
            </w:tr>
          </w:tbl>
          <w:p w14:paraId="1AE97CC4" w14:textId="77777777" w:rsidR="00AE182D" w:rsidRPr="00AE182D" w:rsidRDefault="00AE182D" w:rsidP="00AE182D">
            <w:pPr>
              <w:spacing w:after="0" w:line="240" w:lineRule="auto"/>
              <w:rPr>
                <w:rFonts w:ascii="Helvetica" w:eastAsia="Times New Roman" w:hAnsi="Helvetica" w:cs="Times New Roman"/>
                <w:vanish/>
                <w:color w:val="26282A"/>
                <w:kern w:val="0"/>
                <w:sz w:val="20"/>
                <w:szCs w:val="20"/>
                <w:lang w:eastAsia="es-UY"/>
                <w14:ligatures w14:val="none"/>
              </w:rPr>
            </w:pPr>
          </w:p>
          <w:tbl>
            <w:tblPr>
              <w:tblW w:w="5000" w:type="pct"/>
              <w:tblCellMar>
                <w:left w:w="0" w:type="dxa"/>
                <w:right w:w="0" w:type="dxa"/>
              </w:tblCellMar>
              <w:tblLook w:val="04A0" w:firstRow="1" w:lastRow="0" w:firstColumn="1" w:lastColumn="0" w:noHBand="0" w:noVBand="1"/>
            </w:tblPr>
            <w:tblGrid>
              <w:gridCol w:w="10290"/>
            </w:tblGrid>
            <w:tr w:rsidR="00AE182D" w:rsidRPr="00AE182D" w14:paraId="3F6C9A33" w14:textId="77777777">
              <w:tc>
                <w:tcPr>
                  <w:tcW w:w="0" w:type="auto"/>
                  <w:hideMark/>
                </w:tcPr>
                <w:p w14:paraId="0A642859" w14:textId="1FFECE24" w:rsidR="00AE182D" w:rsidRPr="00AE182D" w:rsidRDefault="00AE182D" w:rsidP="00AE182D">
                  <w:pPr>
                    <w:spacing w:after="0" w:line="240" w:lineRule="auto"/>
                    <w:rPr>
                      <w:rFonts w:ascii="Times New Roman" w:eastAsia="Times New Roman" w:hAnsi="Times New Roman" w:cs="Times New Roman"/>
                      <w:kern w:val="0"/>
                      <w:sz w:val="24"/>
                      <w:szCs w:val="24"/>
                      <w:lang w:eastAsia="es-UY"/>
                      <w14:ligatures w14:val="none"/>
                    </w:rPr>
                  </w:pPr>
                </w:p>
              </w:tc>
            </w:tr>
          </w:tbl>
          <w:p w14:paraId="44647563" w14:textId="77777777" w:rsidR="00AE182D" w:rsidRPr="00AE182D" w:rsidRDefault="00AE182D" w:rsidP="00AE182D">
            <w:pPr>
              <w:spacing w:after="0" w:line="240" w:lineRule="auto"/>
              <w:rPr>
                <w:rFonts w:ascii="Helvetica" w:eastAsia="Times New Roman" w:hAnsi="Helvetica" w:cs="Times New Roman"/>
                <w:vanish/>
                <w:color w:val="26282A"/>
                <w:kern w:val="0"/>
                <w:sz w:val="20"/>
                <w:szCs w:val="20"/>
                <w:lang w:eastAsia="es-UY"/>
                <w14:ligatures w14:val="none"/>
              </w:rPr>
            </w:pPr>
          </w:p>
          <w:tbl>
            <w:tblPr>
              <w:tblW w:w="5000" w:type="pct"/>
              <w:tblCellMar>
                <w:left w:w="0" w:type="dxa"/>
                <w:right w:w="0" w:type="dxa"/>
              </w:tblCellMar>
              <w:tblLook w:val="04A0" w:firstRow="1" w:lastRow="0" w:firstColumn="1" w:lastColumn="0" w:noHBand="0" w:noVBand="1"/>
            </w:tblPr>
            <w:tblGrid>
              <w:gridCol w:w="10290"/>
            </w:tblGrid>
            <w:tr w:rsidR="00AE182D" w:rsidRPr="00AE182D" w14:paraId="7951779F"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290"/>
                  </w:tblGrid>
                  <w:tr w:rsidR="00AE182D" w:rsidRPr="00AE182D" w14:paraId="75F59A65" w14:textId="77777777">
                    <w:tc>
                      <w:tcPr>
                        <w:tcW w:w="0" w:type="auto"/>
                        <w:tcMar>
                          <w:top w:w="0" w:type="dxa"/>
                          <w:left w:w="270" w:type="dxa"/>
                          <w:bottom w:w="135" w:type="dxa"/>
                          <w:right w:w="270" w:type="dxa"/>
                        </w:tcMar>
                        <w:hideMark/>
                      </w:tcPr>
                      <w:p w14:paraId="5CF82F27" w14:textId="77777777" w:rsidR="00AE182D" w:rsidRPr="00AE182D" w:rsidRDefault="00AE182D" w:rsidP="00AE182D">
                        <w:pPr>
                          <w:spacing w:before="150" w:after="150" w:line="315" w:lineRule="atLeast"/>
                          <w:jc w:val="both"/>
                          <w:rPr>
                            <w:rFonts w:ascii="Merriweather" w:eastAsia="Times New Roman" w:hAnsi="Merriweather" w:cs="Times New Roman"/>
                            <w:color w:val="005A70"/>
                            <w:kern w:val="0"/>
                            <w:sz w:val="21"/>
                            <w:szCs w:val="21"/>
                            <w:lang w:eastAsia="es-UY"/>
                            <w14:ligatures w14:val="none"/>
                          </w:rPr>
                        </w:pPr>
                        <w:r w:rsidRPr="00AE182D">
                          <w:rPr>
                            <w:rFonts w:ascii="Merriweather" w:eastAsia="Times New Roman" w:hAnsi="Merriweather" w:cs="Times New Roman"/>
                            <w:color w:val="005A70"/>
                            <w:kern w:val="0"/>
                            <w:sz w:val="21"/>
                            <w:szCs w:val="21"/>
                            <w:lang w:eastAsia="es-UY"/>
                            <w14:ligatures w14:val="none"/>
                          </w:rPr>
                          <w:t>El Día Internacional de la Mujer, se celebra anualmente el 8 de marzo para honrar y reconocer los logros y contribuciones de las mujeres a lo largo de la historia. El primer Día Internacional de la Mujer se celebró el 19 de marzo de 1911 en Austria, Dinamarca, Alemania y Suiza. Mujeres y hombres participaron en mítines, campañas y manifestaciones para exigir igualdad de derechos. Sin embargo,  en 1913, el 8 de marzo se estableció oficialmente como el Día Internacional de la Mujer y se ha celebrado en esta fecha desde entonces.</w:t>
                        </w:r>
                      </w:p>
                      <w:p w14:paraId="3835E35B" w14:textId="77777777" w:rsidR="00AE182D" w:rsidRPr="00AE182D" w:rsidRDefault="00AE182D" w:rsidP="00AE182D">
                        <w:pPr>
                          <w:spacing w:before="150" w:after="150" w:line="315" w:lineRule="atLeast"/>
                          <w:jc w:val="both"/>
                          <w:rPr>
                            <w:rFonts w:ascii="Merriweather" w:eastAsia="Times New Roman" w:hAnsi="Merriweather" w:cs="Times New Roman"/>
                            <w:color w:val="005A70"/>
                            <w:kern w:val="0"/>
                            <w:sz w:val="21"/>
                            <w:szCs w:val="21"/>
                            <w:lang w:eastAsia="es-UY"/>
                            <w14:ligatures w14:val="none"/>
                          </w:rPr>
                        </w:pPr>
                        <w:r w:rsidRPr="00AE182D">
                          <w:rPr>
                            <w:rFonts w:ascii="Merriweather" w:eastAsia="Times New Roman" w:hAnsi="Merriweather" w:cs="Times New Roman"/>
                            <w:color w:val="005A70"/>
                            <w:kern w:val="0"/>
                            <w:sz w:val="21"/>
                            <w:szCs w:val="21"/>
                            <w:lang w:eastAsia="es-UY"/>
                            <w14:ligatures w14:val="none"/>
                          </w:rPr>
                          <w:t>Este día es una ocasión para celebrar los logros y contribuciones de las mujeres en diversos campos, incluidos la política, la ciencia, la literatura, los negocios, la educación y más. Además de las celebraciones a nivel mundial, es importante destacar cómo podemos honrar y celebrar a las mujeres desde el aula. </w:t>
                        </w:r>
                      </w:p>
                      <w:p w14:paraId="065FDB06" w14:textId="77777777" w:rsidR="00AE182D" w:rsidRPr="00AE182D" w:rsidRDefault="00AE182D" w:rsidP="00AE182D">
                        <w:pPr>
                          <w:spacing w:before="150" w:after="150" w:line="315" w:lineRule="atLeast"/>
                          <w:jc w:val="both"/>
                          <w:rPr>
                            <w:rFonts w:ascii="Merriweather" w:eastAsia="Times New Roman" w:hAnsi="Merriweather" w:cs="Times New Roman"/>
                            <w:color w:val="005A70"/>
                            <w:kern w:val="0"/>
                            <w:sz w:val="21"/>
                            <w:szCs w:val="21"/>
                            <w:lang w:eastAsia="es-UY"/>
                            <w14:ligatures w14:val="none"/>
                          </w:rPr>
                        </w:pPr>
                        <w:r w:rsidRPr="00AE182D">
                          <w:rPr>
                            <w:rFonts w:ascii="Merriweather" w:eastAsia="Times New Roman" w:hAnsi="Merriweather" w:cs="Times New Roman"/>
                            <w:color w:val="005A70"/>
                            <w:kern w:val="0"/>
                            <w:sz w:val="21"/>
                            <w:szCs w:val="21"/>
                            <w:lang w:eastAsia="es-UY"/>
                            <w14:ligatures w14:val="none"/>
                          </w:rPr>
                          <w:t>A continuación te presentamos algunas formas en las que puedes celebrar a la mujer desde el aula:</w:t>
                        </w:r>
                      </w:p>
                      <w:p w14:paraId="26623B2A" w14:textId="77777777" w:rsidR="00AE182D" w:rsidRPr="00AE182D" w:rsidRDefault="00AE182D" w:rsidP="00AE182D">
                        <w:pPr>
                          <w:numPr>
                            <w:ilvl w:val="0"/>
                            <w:numId w:val="1"/>
                          </w:numPr>
                          <w:spacing w:before="150" w:after="150" w:line="315" w:lineRule="atLeast"/>
                          <w:ind w:left="945"/>
                          <w:jc w:val="both"/>
                          <w:rPr>
                            <w:rFonts w:ascii="Merriweather" w:eastAsia="Times New Roman" w:hAnsi="Merriweather" w:cs="Times New Roman"/>
                            <w:color w:val="005A70"/>
                            <w:kern w:val="0"/>
                            <w:sz w:val="21"/>
                            <w:szCs w:val="21"/>
                            <w:lang w:eastAsia="es-UY"/>
                            <w14:ligatures w14:val="none"/>
                          </w:rPr>
                        </w:pPr>
                        <w:r w:rsidRPr="00AE182D">
                          <w:rPr>
                            <w:rFonts w:ascii="Merriweather" w:eastAsia="Times New Roman" w:hAnsi="Merriweather" w:cs="Times New Roman"/>
                            <w:b/>
                            <w:bCs/>
                            <w:color w:val="005A70"/>
                            <w:kern w:val="0"/>
                            <w:sz w:val="21"/>
                            <w:szCs w:val="21"/>
                            <w:lang w:eastAsia="es-UY"/>
                            <w14:ligatures w14:val="none"/>
                          </w:rPr>
                          <w:t>Educar sobre la historia de las mujeres:</w:t>
                        </w:r>
                        <w:r w:rsidRPr="00AE182D">
                          <w:rPr>
                            <w:rFonts w:ascii="Merriweather" w:eastAsia="Times New Roman" w:hAnsi="Merriweather" w:cs="Times New Roman"/>
                            <w:color w:val="005A70"/>
                            <w:kern w:val="0"/>
                            <w:sz w:val="21"/>
                            <w:szCs w:val="21"/>
                            <w:lang w:eastAsia="es-UY"/>
                            <w14:ligatures w14:val="none"/>
                          </w:rPr>
                          <w:t> dedica tiempo para explorar la historia de mujeres influyentes en diferentes áreas, desde la ciencia hasta la literatura. Al momento de planificar, vincula estas historias en la planificación, resalta los logros y el impacto que han tenido en la sociedad.</w:t>
                        </w:r>
                      </w:p>
                      <w:p w14:paraId="218486C3" w14:textId="77777777" w:rsidR="00AE182D" w:rsidRPr="00AE182D" w:rsidRDefault="00AE182D" w:rsidP="00AE182D">
                        <w:pPr>
                          <w:numPr>
                            <w:ilvl w:val="0"/>
                            <w:numId w:val="2"/>
                          </w:numPr>
                          <w:spacing w:before="150" w:after="150" w:line="315" w:lineRule="atLeast"/>
                          <w:ind w:left="945"/>
                          <w:jc w:val="both"/>
                          <w:rPr>
                            <w:rFonts w:ascii="Merriweather" w:eastAsia="Times New Roman" w:hAnsi="Merriweather" w:cs="Times New Roman"/>
                            <w:color w:val="005A70"/>
                            <w:kern w:val="0"/>
                            <w:sz w:val="21"/>
                            <w:szCs w:val="21"/>
                            <w:lang w:eastAsia="es-UY"/>
                            <w14:ligatures w14:val="none"/>
                          </w:rPr>
                        </w:pPr>
                        <w:r w:rsidRPr="00AE182D">
                          <w:rPr>
                            <w:rFonts w:ascii="Merriweather" w:eastAsia="Times New Roman" w:hAnsi="Merriweather" w:cs="Times New Roman"/>
                            <w:b/>
                            <w:bCs/>
                            <w:color w:val="005A70"/>
                            <w:kern w:val="0"/>
                            <w:sz w:val="21"/>
                            <w:szCs w:val="21"/>
                            <w:lang w:eastAsia="es-UY"/>
                            <w14:ligatures w14:val="none"/>
                          </w:rPr>
                          <w:t>Organizar debates y discusiones:</w:t>
                        </w:r>
                        <w:r w:rsidRPr="00AE182D">
                          <w:rPr>
                            <w:rFonts w:ascii="Merriweather" w:eastAsia="Times New Roman" w:hAnsi="Merriweather" w:cs="Times New Roman"/>
                            <w:color w:val="005A70"/>
                            <w:kern w:val="0"/>
                            <w:sz w:val="21"/>
                            <w:szCs w:val="21"/>
                            <w:lang w:eastAsia="es-UY"/>
                            <w14:ligatures w14:val="none"/>
                          </w:rPr>
                          <w:t xml:space="preserve"> fomenta el diálogo sobre temas relacionados con la igualdad de género, la discriminación y los desafíos que enfrentan las mujeres alrededor del mundo. Proporciona un espacio seguro para que las y los estudiantes </w:t>
                        </w:r>
                        <w:r w:rsidRPr="00AE182D">
                          <w:rPr>
                            <w:rFonts w:ascii="Merriweather" w:eastAsia="Times New Roman" w:hAnsi="Merriweather" w:cs="Times New Roman"/>
                            <w:color w:val="005A70"/>
                            <w:kern w:val="0"/>
                            <w:sz w:val="21"/>
                            <w:szCs w:val="21"/>
                            <w:lang w:eastAsia="es-UY"/>
                            <w14:ligatures w14:val="none"/>
                          </w:rPr>
                          <w:lastRenderedPageBreak/>
                          <w:t>compartan sus opiniones y experiencias e invítales a respetar la opinión de cada uno de sus compañeras y compañeros.</w:t>
                        </w:r>
                      </w:p>
                      <w:p w14:paraId="7432ABC5" w14:textId="77777777" w:rsidR="00AE182D" w:rsidRPr="00AE182D" w:rsidRDefault="00AE182D" w:rsidP="00AE182D">
                        <w:pPr>
                          <w:numPr>
                            <w:ilvl w:val="0"/>
                            <w:numId w:val="2"/>
                          </w:numPr>
                          <w:spacing w:before="150" w:after="150" w:line="315" w:lineRule="atLeast"/>
                          <w:ind w:left="945"/>
                          <w:jc w:val="both"/>
                          <w:rPr>
                            <w:rFonts w:ascii="Merriweather" w:eastAsia="Times New Roman" w:hAnsi="Merriweather" w:cs="Times New Roman"/>
                            <w:color w:val="005A70"/>
                            <w:kern w:val="0"/>
                            <w:sz w:val="21"/>
                            <w:szCs w:val="21"/>
                            <w:lang w:eastAsia="es-UY"/>
                            <w14:ligatures w14:val="none"/>
                          </w:rPr>
                        </w:pPr>
                        <w:r w:rsidRPr="00AE182D">
                          <w:rPr>
                            <w:rFonts w:ascii="Merriweather" w:eastAsia="Times New Roman" w:hAnsi="Merriweather" w:cs="Times New Roman"/>
                            <w:b/>
                            <w:bCs/>
                            <w:color w:val="005A70"/>
                            <w:kern w:val="0"/>
                            <w:sz w:val="21"/>
                            <w:szCs w:val="21"/>
                            <w:lang w:eastAsia="es-UY"/>
                            <w14:ligatures w14:val="none"/>
                          </w:rPr>
                          <w:t>Promover el respeto:</w:t>
                        </w:r>
                        <w:r w:rsidRPr="00AE182D">
                          <w:rPr>
                            <w:rFonts w:ascii="Merriweather" w:eastAsia="Times New Roman" w:hAnsi="Merriweather" w:cs="Times New Roman"/>
                            <w:color w:val="005A70"/>
                            <w:kern w:val="0"/>
                            <w:sz w:val="21"/>
                            <w:szCs w:val="21"/>
                            <w:lang w:eastAsia="es-UY"/>
                            <w14:ligatures w14:val="none"/>
                          </w:rPr>
                          <w:t> destaca la importancia del respeto mutuo y de la inclusión en el aula. Discute cómo podemos trabajar juntos para crear un entorno donde todas y todos se sientan valorados y respetados.</w:t>
                        </w:r>
                      </w:p>
                      <w:p w14:paraId="56F4A8F7" w14:textId="77777777" w:rsidR="00AE182D" w:rsidRPr="00AE182D" w:rsidRDefault="00AE182D" w:rsidP="00AE182D">
                        <w:pPr>
                          <w:numPr>
                            <w:ilvl w:val="0"/>
                            <w:numId w:val="2"/>
                          </w:numPr>
                          <w:spacing w:before="150" w:after="150" w:line="315" w:lineRule="atLeast"/>
                          <w:ind w:left="945"/>
                          <w:jc w:val="both"/>
                          <w:rPr>
                            <w:rFonts w:ascii="Merriweather" w:eastAsia="Times New Roman" w:hAnsi="Merriweather" w:cs="Times New Roman"/>
                            <w:color w:val="005A70"/>
                            <w:kern w:val="0"/>
                            <w:sz w:val="21"/>
                            <w:szCs w:val="21"/>
                            <w:lang w:eastAsia="es-UY"/>
                            <w14:ligatures w14:val="none"/>
                          </w:rPr>
                        </w:pPr>
                        <w:r w:rsidRPr="00AE182D">
                          <w:rPr>
                            <w:rFonts w:ascii="Merriweather" w:eastAsia="Times New Roman" w:hAnsi="Merriweather" w:cs="Times New Roman"/>
                            <w:b/>
                            <w:bCs/>
                            <w:color w:val="005A70"/>
                            <w:kern w:val="0"/>
                            <w:sz w:val="21"/>
                            <w:szCs w:val="21"/>
                            <w:lang w:eastAsia="es-UY"/>
                            <w14:ligatures w14:val="none"/>
                          </w:rPr>
                          <w:t>Celebrar el talento de las mujeres: </w:t>
                        </w:r>
                        <w:r w:rsidRPr="00AE182D">
                          <w:rPr>
                            <w:rFonts w:ascii="Merriweather" w:eastAsia="Times New Roman" w:hAnsi="Merriweather" w:cs="Times New Roman"/>
                            <w:color w:val="005A70"/>
                            <w:kern w:val="0"/>
                            <w:sz w:val="21"/>
                            <w:szCs w:val="21"/>
                            <w:lang w:eastAsia="es-UY"/>
                            <w14:ligatures w14:val="none"/>
                          </w:rPr>
                          <w:t>organiza actividades culturales donde se destaque el talento de las mujeres en la música, el arte, el deporte y demás áreas. Dichas actividades pueden ser proyecciones de películas y documentales que aborden temas relevantes para el Día Internacional de la Mujer, la lucha por los derechos de las mujeres, etc., para posteriormente reflexionar y debatir con los estudiantes lo observado.</w:t>
                        </w:r>
                      </w:p>
                      <w:p w14:paraId="0302E413" w14:textId="77777777" w:rsidR="00AE182D" w:rsidRPr="00AE182D" w:rsidRDefault="00AE182D" w:rsidP="00AE182D">
                        <w:pPr>
                          <w:spacing w:before="150" w:after="150" w:line="315" w:lineRule="atLeast"/>
                          <w:jc w:val="both"/>
                          <w:rPr>
                            <w:rFonts w:ascii="Merriweather" w:eastAsia="Times New Roman" w:hAnsi="Merriweather" w:cs="Times New Roman"/>
                            <w:color w:val="005A70"/>
                            <w:kern w:val="0"/>
                            <w:sz w:val="21"/>
                            <w:szCs w:val="21"/>
                            <w:lang w:eastAsia="es-UY"/>
                            <w14:ligatures w14:val="none"/>
                          </w:rPr>
                        </w:pPr>
                        <w:r w:rsidRPr="00AE182D">
                          <w:rPr>
                            <w:rFonts w:ascii="Merriweather" w:eastAsia="Times New Roman" w:hAnsi="Merriweather" w:cs="Times New Roman"/>
                            <w:color w:val="005A70"/>
                            <w:kern w:val="0"/>
                            <w:sz w:val="21"/>
                            <w:szCs w:val="21"/>
                            <w:lang w:eastAsia="es-UY"/>
                            <w14:ligatures w14:val="none"/>
                          </w:rPr>
                          <w:t>Al celebrar el Día Internacional de la Mujer, los centros ayudan a crear conciencia, promover la igualdad de género y empoderar a las futuras generaciones a ser agentes de cambio. Este día trasciende más allá de una fecha en el calendario y nos recuerda que el progreso es posible cuando trabajamos juntos hacia un futuro donde todas y todos tengamos igualdad de oportunidades y derechos. La igualdad de género es un objetivo compartido que requiere la participación y el compromiso de todas y todos. </w:t>
                        </w:r>
                      </w:p>
                      <w:p w14:paraId="20F4664D" w14:textId="77777777" w:rsidR="00AE182D" w:rsidRPr="00AE182D" w:rsidRDefault="00AE182D" w:rsidP="00AE182D">
                        <w:pPr>
                          <w:spacing w:before="150" w:after="150" w:line="315" w:lineRule="atLeast"/>
                          <w:jc w:val="both"/>
                          <w:rPr>
                            <w:rFonts w:ascii="Merriweather" w:eastAsia="Times New Roman" w:hAnsi="Merriweather" w:cs="Times New Roman"/>
                            <w:color w:val="005A70"/>
                            <w:kern w:val="0"/>
                            <w:sz w:val="21"/>
                            <w:szCs w:val="21"/>
                            <w:lang w:eastAsia="es-UY"/>
                            <w14:ligatures w14:val="none"/>
                          </w:rPr>
                        </w:pPr>
                        <w:r w:rsidRPr="00AE182D">
                          <w:rPr>
                            <w:rFonts w:ascii="Merriweather" w:eastAsia="Times New Roman" w:hAnsi="Merriweather" w:cs="Times New Roman"/>
                            <w:color w:val="005A70"/>
                            <w:kern w:val="0"/>
                            <w:sz w:val="21"/>
                            <w:szCs w:val="21"/>
                            <w:lang w:eastAsia="es-UY"/>
                            <w14:ligatures w14:val="none"/>
                          </w:rPr>
                          <w:t>Para seguir inspirándonos en la lucha por la igualdad de género y conocer más sobre mujeres que han marcado la historia, te invitamos a ver este emocionante video en YouTube. ¡Haz clic aquí </w:t>
                        </w:r>
                        <w:hyperlink r:id="rId6" w:tgtFrame="_blank" w:history="1">
                          <w:r w:rsidRPr="00AE182D">
                            <w:rPr>
                              <w:rFonts w:ascii="Merriweather" w:eastAsia="Times New Roman" w:hAnsi="Merriweather" w:cs="Times New Roman"/>
                              <w:color w:val="007C89"/>
                              <w:kern w:val="0"/>
                              <w:sz w:val="21"/>
                              <w:szCs w:val="21"/>
                              <w:u w:val="single"/>
                              <w:lang w:eastAsia="es-UY"/>
                              <w14:ligatures w14:val="none"/>
                            </w:rPr>
                            <w:t>https://www.youtube.com/watch?v=luqFXzzBIA4&amp;t=8s</w:t>
                          </w:r>
                        </w:hyperlink>
                        <w:r w:rsidRPr="00AE182D">
                          <w:rPr>
                            <w:rFonts w:ascii="Merriweather" w:eastAsia="Times New Roman" w:hAnsi="Merriweather" w:cs="Times New Roman"/>
                            <w:color w:val="005A70"/>
                            <w:kern w:val="0"/>
                            <w:sz w:val="21"/>
                            <w:szCs w:val="21"/>
                            <w:lang w:eastAsia="es-UY"/>
                            <w14:ligatures w14:val="none"/>
                          </w:rPr>
                          <w:t> para descubrir más historias inspiradoras y sumarte a la celebración del Día Internacional de la Mujer!</w:t>
                        </w:r>
                      </w:p>
                      <w:p w14:paraId="5B0550B2" w14:textId="77777777" w:rsidR="00AE182D" w:rsidRPr="00AE182D" w:rsidRDefault="00AE182D" w:rsidP="00AE182D">
                        <w:pPr>
                          <w:spacing w:before="150" w:after="150" w:line="315" w:lineRule="atLeast"/>
                          <w:jc w:val="center"/>
                          <w:rPr>
                            <w:rFonts w:ascii="Merriweather" w:eastAsia="Times New Roman" w:hAnsi="Merriweather" w:cs="Times New Roman"/>
                            <w:color w:val="005A70"/>
                            <w:kern w:val="0"/>
                            <w:sz w:val="21"/>
                            <w:szCs w:val="21"/>
                            <w:lang w:eastAsia="es-UY"/>
                            <w14:ligatures w14:val="none"/>
                          </w:rPr>
                        </w:pPr>
                        <w:r w:rsidRPr="00AE182D">
                          <w:rPr>
                            <w:rFonts w:ascii="Merriweather" w:eastAsia="Times New Roman" w:hAnsi="Merriweather" w:cs="Times New Roman"/>
                            <w:b/>
                            <w:bCs/>
                            <w:color w:val="005A70"/>
                            <w:kern w:val="0"/>
                            <w:sz w:val="21"/>
                            <w:szCs w:val="21"/>
                            <w:lang w:eastAsia="es-UY"/>
                            <w14:ligatures w14:val="none"/>
                          </w:rPr>
                          <w:t>¡Sigamos avanzando juntos hacia un mundo más justo y equitativo para todos!</w:t>
                        </w:r>
                      </w:p>
                    </w:tc>
                  </w:tr>
                </w:tbl>
                <w:p w14:paraId="6A311DCF" w14:textId="77777777" w:rsidR="00AE182D" w:rsidRPr="00AE182D" w:rsidRDefault="00AE182D" w:rsidP="00AE182D">
                  <w:pPr>
                    <w:spacing w:after="0" w:line="240" w:lineRule="auto"/>
                    <w:rPr>
                      <w:rFonts w:ascii="Times New Roman" w:eastAsia="Times New Roman" w:hAnsi="Times New Roman" w:cs="Times New Roman"/>
                      <w:kern w:val="0"/>
                      <w:sz w:val="24"/>
                      <w:szCs w:val="24"/>
                      <w:lang w:eastAsia="es-UY"/>
                      <w14:ligatures w14:val="none"/>
                    </w:rPr>
                  </w:pPr>
                </w:p>
              </w:tc>
            </w:tr>
          </w:tbl>
          <w:p w14:paraId="4566FE68" w14:textId="77777777" w:rsidR="00AE182D" w:rsidRPr="00AE182D" w:rsidRDefault="00AE182D" w:rsidP="00AE182D">
            <w:pPr>
              <w:spacing w:after="0" w:line="240" w:lineRule="auto"/>
              <w:rPr>
                <w:rFonts w:ascii="Helvetica" w:eastAsia="Times New Roman" w:hAnsi="Helvetica" w:cs="Times New Roman"/>
                <w:color w:val="26282A"/>
                <w:kern w:val="0"/>
                <w:sz w:val="20"/>
                <w:szCs w:val="20"/>
                <w:lang w:eastAsia="es-UY"/>
                <w14:ligatures w14:val="none"/>
              </w:rPr>
            </w:pPr>
          </w:p>
        </w:tc>
      </w:tr>
      <w:tr w:rsidR="00AE182D" w:rsidRPr="00AE182D" w14:paraId="0CD5DCFB" w14:textId="77777777" w:rsidTr="00AE182D">
        <w:tc>
          <w:tcPr>
            <w:tcW w:w="0" w:type="auto"/>
            <w:tcBorders>
              <w:top w:val="nil"/>
              <w:bottom w:val="nil"/>
            </w:tcBorders>
            <w:shd w:val="clear" w:color="auto" w:fill="FFFFFF"/>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AE182D" w:rsidRPr="00AE182D" w14:paraId="0D23D8F9" w14:textId="77777777">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AE182D" w:rsidRPr="00AE182D" w14:paraId="3C9E2016"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500"/>
                        </w:tblGrid>
                        <w:tr w:rsidR="00AE182D" w:rsidRPr="00AE182D" w14:paraId="22221565" w14:textId="77777777">
                          <w:tc>
                            <w:tcPr>
                              <w:tcW w:w="0" w:type="auto"/>
                              <w:hideMark/>
                            </w:tcPr>
                            <w:p w14:paraId="3450FDB7" w14:textId="77777777" w:rsidR="00AE182D" w:rsidRPr="00AE182D" w:rsidRDefault="00AE182D" w:rsidP="00AE182D">
                              <w:pPr>
                                <w:spacing w:after="0" w:line="240" w:lineRule="auto"/>
                                <w:jc w:val="center"/>
                                <w:rPr>
                                  <w:rFonts w:ascii="Times New Roman" w:eastAsia="Times New Roman" w:hAnsi="Times New Roman" w:cs="Times New Roman"/>
                                  <w:kern w:val="0"/>
                                  <w:sz w:val="24"/>
                                  <w:szCs w:val="24"/>
                                  <w:lang w:eastAsia="es-UY"/>
                                  <w14:ligatures w14:val="none"/>
                                </w:rPr>
                              </w:pPr>
                              <w:r w:rsidRPr="00AE182D">
                                <w:rPr>
                                  <w:rFonts w:ascii="Times New Roman" w:eastAsia="Times New Roman" w:hAnsi="Times New Roman" w:cs="Times New Roman"/>
                                  <w:noProof/>
                                  <w:kern w:val="0"/>
                                  <w:sz w:val="24"/>
                                  <w:szCs w:val="24"/>
                                  <w:lang w:eastAsia="es-UY"/>
                                  <w14:ligatures w14:val="none"/>
                                </w:rPr>
                                <w:lastRenderedPageBreak/>
                                <mc:AlternateContent>
                                  <mc:Choice Requires="wps">
                                    <w:drawing>
                                      <wp:inline distT="0" distB="0" distL="0" distR="0" wp14:anchorId="6A0B6442" wp14:editId="52121A95">
                                        <wp:extent cx="304800" cy="304800"/>
                                        <wp:effectExtent l="0" t="0" r="0" b="0"/>
                                        <wp:docPr id="1708883570"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0AFAD3"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bl>
                      <w:p w14:paraId="109B9B36" w14:textId="77777777" w:rsidR="00AE182D" w:rsidRPr="00AE182D" w:rsidRDefault="00AE182D" w:rsidP="00AE182D">
                        <w:pPr>
                          <w:spacing w:after="0" w:line="240" w:lineRule="auto"/>
                          <w:rPr>
                            <w:rFonts w:ascii="Times New Roman" w:eastAsia="Times New Roman" w:hAnsi="Times New Roman" w:cs="Times New Roman"/>
                            <w:kern w:val="0"/>
                            <w:sz w:val="24"/>
                            <w:szCs w:val="24"/>
                            <w:lang w:eastAsia="es-UY"/>
                            <w14:ligatures w14:val="none"/>
                          </w:rPr>
                        </w:pPr>
                      </w:p>
                    </w:tc>
                  </w:tr>
                </w:tbl>
                <w:p w14:paraId="1941D20C" w14:textId="77777777" w:rsidR="00AE182D" w:rsidRPr="00AE182D" w:rsidRDefault="00AE182D" w:rsidP="00AE182D">
                  <w:pPr>
                    <w:spacing w:after="0" w:line="240" w:lineRule="auto"/>
                    <w:rPr>
                      <w:rFonts w:ascii="Times New Roman" w:eastAsia="Times New Roman" w:hAnsi="Times New Roman" w:cs="Times New Roman"/>
                      <w:kern w:val="0"/>
                      <w:sz w:val="24"/>
                      <w:szCs w:val="24"/>
                      <w:lang w:eastAsia="es-UY"/>
                      <w14:ligatures w14:val="none"/>
                    </w:rPr>
                  </w:pPr>
                </w:p>
              </w:tc>
            </w:tr>
          </w:tbl>
          <w:p w14:paraId="33478E4B" w14:textId="77777777" w:rsidR="00AE182D" w:rsidRPr="00AE182D" w:rsidRDefault="00AE182D" w:rsidP="00AE182D">
            <w:pPr>
              <w:spacing w:after="0" w:line="240" w:lineRule="auto"/>
              <w:rPr>
                <w:rFonts w:ascii="Helvetica" w:eastAsia="Times New Roman" w:hAnsi="Helvetica" w:cs="Times New Roman"/>
                <w:vanish/>
                <w:color w:val="26282A"/>
                <w:kern w:val="0"/>
                <w:sz w:val="20"/>
                <w:szCs w:val="20"/>
                <w:lang w:eastAsia="es-UY"/>
                <w14:ligatures w14:val="none"/>
              </w:rPr>
            </w:pPr>
          </w:p>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AE182D" w:rsidRPr="00AE182D" w14:paraId="0253904F" w14:textId="77777777">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AE182D" w:rsidRPr="00AE182D" w14:paraId="75CF3A97"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4230"/>
                        </w:tblGrid>
                        <w:tr w:rsidR="00AE182D" w:rsidRPr="00AE182D" w14:paraId="55E00D30" w14:textId="77777777">
                          <w:trPr>
                            <w:jc w:val="center"/>
                          </w:trPr>
                          <w:tc>
                            <w:tcPr>
                              <w:tcW w:w="0" w:type="auto"/>
                              <w:tcMar>
                                <w:top w:w="0" w:type="dxa"/>
                                <w:left w:w="135" w:type="dxa"/>
                                <w:bottom w:w="0" w:type="dxa"/>
                                <w:right w:w="135" w:type="dxa"/>
                              </w:tcMar>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3960"/>
                              </w:tblGrid>
                              <w:tr w:rsidR="00AE182D" w:rsidRPr="00AE182D" w14:paraId="10D89884" w14:textId="77777777">
                                <w:trPr>
                                  <w:jc w:val="center"/>
                                </w:trPr>
                                <w:tc>
                                  <w:tcPr>
                                    <w:tcW w:w="0" w:type="auto"/>
                                    <w:shd w:val="clear" w:color="auto" w:fill="FFFFFF"/>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6"/>
                                    </w:tblGrid>
                                    <w:tr w:rsidR="00AE182D" w:rsidRPr="00AE182D" w14:paraId="5613F47F" w14:textId="77777777" w:rsidTr="00AE182D">
                                      <w:trPr>
                                        <w:jc w:val="center"/>
                                      </w:trPr>
                                      <w:tc>
                                        <w:tcPr>
                                          <w:tcW w:w="0" w:type="auto"/>
                                        </w:tcPr>
                                        <w:p w14:paraId="051A1E95" w14:textId="77777777" w:rsidR="00AE182D" w:rsidRPr="00AE182D" w:rsidRDefault="00AE182D" w:rsidP="00AE182D">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56979915" w14:textId="77777777" w:rsidR="00AE182D" w:rsidRPr="00AE182D" w:rsidRDefault="00AE182D" w:rsidP="00AE182D">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605FCA48" w14:textId="77777777" w:rsidR="00AE182D" w:rsidRPr="00AE182D" w:rsidRDefault="00AE182D" w:rsidP="00AE182D">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0F66CCE6" w14:textId="77777777" w:rsidR="00AE182D" w:rsidRPr="00AE182D" w:rsidRDefault="00AE182D" w:rsidP="00AE182D">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2A07A50C" w14:textId="77777777" w:rsidR="00AE182D" w:rsidRPr="00AE182D" w:rsidRDefault="00AE182D" w:rsidP="00AE182D">
                  <w:pPr>
                    <w:spacing w:after="0" w:line="240" w:lineRule="auto"/>
                    <w:rPr>
                      <w:rFonts w:ascii="Times New Roman" w:eastAsia="Times New Roman" w:hAnsi="Times New Roman" w:cs="Times New Roman"/>
                      <w:kern w:val="0"/>
                      <w:sz w:val="24"/>
                      <w:szCs w:val="24"/>
                      <w:lang w:eastAsia="es-UY"/>
                      <w14:ligatures w14:val="none"/>
                    </w:rPr>
                  </w:pPr>
                </w:p>
              </w:tc>
            </w:tr>
          </w:tbl>
          <w:p w14:paraId="5AD3DD19" w14:textId="77777777" w:rsidR="00AE182D" w:rsidRPr="00AE182D" w:rsidRDefault="00AE182D" w:rsidP="00AE182D">
            <w:pPr>
              <w:spacing w:after="0" w:line="240" w:lineRule="auto"/>
              <w:rPr>
                <w:rFonts w:ascii="Helvetica" w:eastAsia="Times New Roman" w:hAnsi="Helvetica" w:cs="Times New Roman"/>
                <w:color w:val="26282A"/>
                <w:kern w:val="0"/>
                <w:sz w:val="20"/>
                <w:szCs w:val="20"/>
                <w:lang w:eastAsia="es-UY"/>
                <w14:ligatures w14:val="none"/>
              </w:rPr>
            </w:pPr>
          </w:p>
        </w:tc>
      </w:tr>
      <w:tr w:rsidR="00AE182D" w:rsidRPr="00AE182D" w14:paraId="11ED56B0" w14:textId="77777777" w:rsidTr="00AE182D">
        <w:tc>
          <w:tcPr>
            <w:tcW w:w="0" w:type="auto"/>
            <w:tcBorders>
              <w:top w:val="nil"/>
              <w:bottom w:val="single" w:sz="12" w:space="0" w:color="EAEAEA"/>
            </w:tcBorders>
            <w:shd w:val="clear" w:color="auto" w:fill="FFFFFF"/>
            <w:tcMar>
              <w:top w:w="0" w:type="dxa"/>
              <w:left w:w="0" w:type="dxa"/>
              <w:bottom w:w="135" w:type="dxa"/>
              <w:right w:w="0" w:type="dxa"/>
            </w:tcMar>
            <w:hideMark/>
          </w:tcPr>
          <w:p w14:paraId="038B4BF3" w14:textId="77777777" w:rsidR="00AE182D" w:rsidRPr="00AE182D" w:rsidRDefault="00AE182D" w:rsidP="00AE182D">
            <w:pPr>
              <w:spacing w:after="0" w:line="240" w:lineRule="auto"/>
              <w:rPr>
                <w:rFonts w:ascii="Times New Roman" w:eastAsia="Times New Roman" w:hAnsi="Times New Roman" w:cs="Times New Roman"/>
                <w:kern w:val="0"/>
                <w:sz w:val="20"/>
                <w:szCs w:val="20"/>
                <w:lang w:eastAsia="es-UY"/>
                <w14:ligatures w14:val="none"/>
              </w:rPr>
            </w:pPr>
          </w:p>
        </w:tc>
      </w:tr>
      <w:tr w:rsidR="00AE182D" w:rsidRPr="00AE182D" w14:paraId="3B645C44" w14:textId="77777777" w:rsidTr="00AE182D">
        <w:tc>
          <w:tcPr>
            <w:tcW w:w="0" w:type="auto"/>
            <w:tcBorders>
              <w:top w:val="nil"/>
              <w:bottom w:val="nil"/>
            </w:tcBorders>
            <w:shd w:val="clear" w:color="auto" w:fill="FAFAFA"/>
            <w:tcMar>
              <w:top w:w="135" w:type="dxa"/>
              <w:left w:w="0" w:type="dxa"/>
              <w:bottom w:w="135" w:type="dxa"/>
              <w:right w:w="0" w:type="dxa"/>
            </w:tcMar>
            <w:hideMark/>
          </w:tcPr>
          <w:p w14:paraId="59235442" w14:textId="77777777" w:rsidR="00AE182D" w:rsidRPr="00AE182D" w:rsidRDefault="00AE182D" w:rsidP="00AE182D">
            <w:pPr>
              <w:spacing w:after="0" w:line="240" w:lineRule="auto"/>
              <w:rPr>
                <w:rFonts w:ascii="Times New Roman" w:eastAsia="Times New Roman" w:hAnsi="Times New Roman" w:cs="Times New Roman"/>
                <w:kern w:val="0"/>
                <w:sz w:val="20"/>
                <w:szCs w:val="20"/>
                <w:lang w:eastAsia="es-UY"/>
                <w14:ligatures w14:val="none"/>
              </w:rPr>
            </w:pPr>
          </w:p>
        </w:tc>
      </w:tr>
    </w:tbl>
    <w:p w14:paraId="55B5BF0A" w14:textId="77777777" w:rsidR="00926044" w:rsidRDefault="00926044"/>
    <w:sectPr w:rsidR="00926044" w:rsidSect="003948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Merriweather">
    <w:charset w:val="00"/>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93DF3"/>
    <w:multiLevelType w:val="multilevel"/>
    <w:tmpl w:val="B3FA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4D0304"/>
    <w:multiLevelType w:val="multilevel"/>
    <w:tmpl w:val="ADCE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5853221">
    <w:abstractNumId w:val="1"/>
  </w:num>
  <w:num w:numId="2" w16cid:durableId="224221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2D"/>
    <w:rsid w:val="00394849"/>
    <w:rsid w:val="00926044"/>
    <w:rsid w:val="00AE182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30AF"/>
  <w15:chartTrackingRefBased/>
  <w15:docId w15:val="{F08F26B1-6299-407C-B7F0-12AD95A0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E1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1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182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182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E182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E182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182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182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182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18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E18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182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182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E182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E18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18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18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182D"/>
    <w:rPr>
      <w:rFonts w:eastAsiaTheme="majorEastAsia" w:cstheme="majorBidi"/>
      <w:color w:val="272727" w:themeColor="text1" w:themeTint="D8"/>
    </w:rPr>
  </w:style>
  <w:style w:type="paragraph" w:styleId="Ttulo">
    <w:name w:val="Title"/>
    <w:basedOn w:val="Normal"/>
    <w:next w:val="Normal"/>
    <w:link w:val="TtuloCar"/>
    <w:uiPriority w:val="10"/>
    <w:qFormat/>
    <w:rsid w:val="00AE1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18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182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18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182D"/>
    <w:pPr>
      <w:spacing w:before="160"/>
      <w:jc w:val="center"/>
    </w:pPr>
    <w:rPr>
      <w:i/>
      <w:iCs/>
      <w:color w:val="404040" w:themeColor="text1" w:themeTint="BF"/>
    </w:rPr>
  </w:style>
  <w:style w:type="character" w:customStyle="1" w:styleId="CitaCar">
    <w:name w:val="Cita Car"/>
    <w:basedOn w:val="Fuentedeprrafopredeter"/>
    <w:link w:val="Cita"/>
    <w:uiPriority w:val="29"/>
    <w:rsid w:val="00AE182D"/>
    <w:rPr>
      <w:i/>
      <w:iCs/>
      <w:color w:val="404040" w:themeColor="text1" w:themeTint="BF"/>
    </w:rPr>
  </w:style>
  <w:style w:type="paragraph" w:styleId="Prrafodelista">
    <w:name w:val="List Paragraph"/>
    <w:basedOn w:val="Normal"/>
    <w:uiPriority w:val="34"/>
    <w:qFormat/>
    <w:rsid w:val="00AE182D"/>
    <w:pPr>
      <w:ind w:left="720"/>
      <w:contextualSpacing/>
    </w:pPr>
  </w:style>
  <w:style w:type="character" w:styleId="nfasisintenso">
    <w:name w:val="Intense Emphasis"/>
    <w:basedOn w:val="Fuentedeprrafopredeter"/>
    <w:uiPriority w:val="21"/>
    <w:qFormat/>
    <w:rsid w:val="00AE182D"/>
    <w:rPr>
      <w:i/>
      <w:iCs/>
      <w:color w:val="0F4761" w:themeColor="accent1" w:themeShade="BF"/>
    </w:rPr>
  </w:style>
  <w:style w:type="paragraph" w:styleId="Citadestacada">
    <w:name w:val="Intense Quote"/>
    <w:basedOn w:val="Normal"/>
    <w:next w:val="Normal"/>
    <w:link w:val="CitadestacadaCar"/>
    <w:uiPriority w:val="30"/>
    <w:qFormat/>
    <w:rsid w:val="00AE1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182D"/>
    <w:rPr>
      <w:i/>
      <w:iCs/>
      <w:color w:val="0F4761" w:themeColor="accent1" w:themeShade="BF"/>
    </w:rPr>
  </w:style>
  <w:style w:type="character" w:styleId="Referenciaintensa">
    <w:name w:val="Intense Reference"/>
    <w:basedOn w:val="Fuentedeprrafopredeter"/>
    <w:uiPriority w:val="32"/>
    <w:qFormat/>
    <w:rsid w:val="00AE18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62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512.us17.list-manage.com/track/click?u=7af07f3c3ab80b1a3bdc3e5c8&amp;id=fb6f02eedf&amp;e=b94057abd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2944</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2024-03-08T16:36:00Z</dcterms:created>
  <dcterms:modified xsi:type="dcterms:W3CDTF">2024-03-08T16:37:00Z</dcterms:modified>
</cp:coreProperties>
</file>