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20DC" w14:textId="77777777" w:rsidR="00965CBC" w:rsidRDefault="00965CBC" w:rsidP="00965CBC">
      <w:pPr>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965CBC">
        <w:rPr>
          <w:rFonts w:ascii="Open Sans" w:eastAsia="Times New Roman" w:hAnsi="Open Sans" w:cs="Open Sans"/>
          <w:b/>
          <w:bCs/>
          <w:i/>
          <w:iCs/>
          <w:color w:val="D49400"/>
          <w:kern w:val="36"/>
          <w:sz w:val="21"/>
          <w:szCs w:val="21"/>
          <w:lang w:eastAsia="es-UY"/>
          <w14:ligatures w14:val="none"/>
        </w:rPr>
        <w:t>Tal vez sea posible que la Iglesia católica renueve el ejercicio del ministerio del Obispo de Roma"</w:t>
      </w:r>
    </w:p>
    <w:p w14:paraId="09580E11" w14:textId="39CD0E9B" w:rsidR="00965CBC" w:rsidRPr="00965CBC" w:rsidRDefault="00965CBC" w:rsidP="00965CBC">
      <w:pPr>
        <w:spacing w:after="0" w:line="435" w:lineRule="atLeast"/>
        <w:outlineLvl w:val="0"/>
        <w:rPr>
          <w:rFonts w:ascii="Open Sans" w:eastAsia="Times New Roman" w:hAnsi="Open Sans" w:cs="Open Sans"/>
          <w:b/>
          <w:bCs/>
          <w:color w:val="333333"/>
          <w:kern w:val="36"/>
          <w:sz w:val="38"/>
          <w:szCs w:val="38"/>
          <w:lang w:eastAsia="es-UY"/>
          <w14:ligatures w14:val="none"/>
        </w:rPr>
      </w:pPr>
      <w:r w:rsidRPr="00965CBC">
        <w:rPr>
          <w:rFonts w:ascii="Open Sans" w:eastAsia="Times New Roman" w:hAnsi="Open Sans" w:cs="Open Sans"/>
          <w:b/>
          <w:bCs/>
          <w:color w:val="333333"/>
          <w:kern w:val="36"/>
          <w:sz w:val="38"/>
          <w:szCs w:val="38"/>
          <w:lang w:eastAsia="es-UY"/>
          <w14:ligatures w14:val="none"/>
        </w:rPr>
        <w:t>El Vaticano propone una "reformulación" del dogma de la infalibilidad y la primacía del Papa para alcanzar la unidad entre los cristianos</w:t>
      </w:r>
    </w:p>
    <w:p w14:paraId="12205EF2" w14:textId="77777777" w:rsidR="00965CBC" w:rsidRPr="00965CBC" w:rsidRDefault="00965CBC" w:rsidP="00965CBC">
      <w:pPr>
        <w:spacing w:after="0" w:line="240" w:lineRule="auto"/>
        <w:rPr>
          <w:rFonts w:ascii="Times New Roman" w:eastAsia="Times New Roman" w:hAnsi="Times New Roman" w:cs="Times New Roman"/>
          <w:kern w:val="0"/>
          <w:sz w:val="24"/>
          <w:szCs w:val="24"/>
          <w:lang w:eastAsia="es-UY"/>
          <w14:ligatures w14:val="none"/>
        </w:rPr>
      </w:pPr>
      <w:r w:rsidRPr="00965CBC">
        <w:rPr>
          <w:rFonts w:ascii="Times New Roman" w:eastAsia="Times New Roman" w:hAnsi="Times New Roman" w:cs="Times New Roman"/>
          <w:noProof/>
          <w:kern w:val="0"/>
          <w:sz w:val="24"/>
          <w:szCs w:val="24"/>
          <w:lang w:eastAsia="es-UY"/>
          <w14:ligatures w14:val="none"/>
        </w:rPr>
        <w:drawing>
          <wp:inline distT="0" distB="0" distL="0" distR="0" wp14:anchorId="01717F2B" wp14:editId="7A283C1B">
            <wp:extent cx="6286500" cy="3530600"/>
            <wp:effectExtent l="0" t="0" r="0" b="0"/>
            <wp:docPr id="1" name="Imagen 6" descr="Primado de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do de Ped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7EE7294D" w14:textId="77777777" w:rsidR="00965CBC" w:rsidRPr="00965CBC" w:rsidRDefault="00965CBC" w:rsidP="00965CBC">
      <w:pPr>
        <w:spacing w:line="240" w:lineRule="auto"/>
        <w:rPr>
          <w:rFonts w:ascii="Times New Roman" w:eastAsia="Times New Roman" w:hAnsi="Times New Roman" w:cs="Times New Roman"/>
          <w:kern w:val="0"/>
          <w:sz w:val="24"/>
          <w:szCs w:val="24"/>
          <w:lang w:eastAsia="es-UY"/>
          <w14:ligatures w14:val="none"/>
        </w:rPr>
      </w:pPr>
      <w:r w:rsidRPr="00965CBC">
        <w:rPr>
          <w:rFonts w:ascii="Times New Roman" w:eastAsia="Times New Roman" w:hAnsi="Times New Roman" w:cs="Times New Roman"/>
          <w:kern w:val="0"/>
          <w:sz w:val="24"/>
          <w:szCs w:val="24"/>
          <w:lang w:eastAsia="es-UY"/>
          <w14:ligatures w14:val="none"/>
        </w:rPr>
        <w:t>Primado de Pedro</w:t>
      </w:r>
    </w:p>
    <w:p w14:paraId="05286271" w14:textId="77777777" w:rsidR="00965CBC" w:rsidRPr="00965CBC" w:rsidRDefault="00965CBC" w:rsidP="00965CBC">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45BE56F1"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El Dicasterio para la promoción de la Unidad de los Cristianos propone “reexaminar la forma del papado y su ejercicio de la autoridad al servicio de la comunión eclesial”, en una reflexión “hecha juntos”, entre todas las confesiones cristianas</w:t>
      </w:r>
    </w:p>
    <w:p w14:paraId="321A334B"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"Ha llegado el momento de dar nuevos pasos en los diálogos ecuménicos”, y “ponerse de acuerdo sobre un ejercicio aceptable de un ministerio de unidad para toda la Iglesia”</w:t>
      </w:r>
    </w:p>
    <w:p w14:paraId="322E929F"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 xml:space="preserve">Sobre el Vaticano I: “Es necesario aclarar la terminología adoptada, que a menudo sigue siendo equívoca y abierta a </w:t>
      </w:r>
      <w:r w:rsidRPr="00965CBC">
        <w:rPr>
          <w:rFonts w:ascii="Montserrat" w:eastAsia="Times New Roman" w:hAnsi="Montserrat" w:cs="Open Sans"/>
          <w:b/>
          <w:bCs/>
          <w:color w:val="474747"/>
          <w:kern w:val="0"/>
          <w:sz w:val="26"/>
          <w:szCs w:val="26"/>
          <w:lang w:eastAsia="es-UY"/>
          <w14:ligatures w14:val="none"/>
        </w:rPr>
        <w:lastRenderedPageBreak/>
        <w:t>interpretaciones erróneas, por ejemplo: jurisdicción ordinaria, inmediata y universal; infalibilidad; gobierno; autoridad y poder Supremos”</w:t>
      </w:r>
    </w:p>
    <w:p w14:paraId="3FBBB774"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 xml:space="preserve">El documento plantea "recuperar y reforzar estructuras sinodales" como "los consejos pastorales diocesanos (CIC can. 511-514), los sínodos diocesanos (CIC can. 460-468), y también los concilios plenarios y provinciales (CIC can. 439-445), que rara vez o nunca se convocan”, así como las </w:t>
      </w:r>
      <w:proofErr w:type="gramStart"/>
      <w:r w:rsidRPr="00965CBC">
        <w:rPr>
          <w:rFonts w:ascii="Montserrat" w:eastAsia="Times New Roman" w:hAnsi="Montserrat" w:cs="Open Sans"/>
          <w:b/>
          <w:bCs/>
          <w:color w:val="474747"/>
          <w:kern w:val="0"/>
          <w:sz w:val="26"/>
          <w:szCs w:val="26"/>
          <w:lang w:eastAsia="es-UY"/>
          <w14:ligatures w14:val="none"/>
        </w:rPr>
        <w:t>conferencias episcopales y los organismos episcopales</w:t>
      </w:r>
      <w:proofErr w:type="gramEnd"/>
      <w:r w:rsidRPr="00965CBC">
        <w:rPr>
          <w:rFonts w:ascii="Montserrat" w:eastAsia="Times New Roman" w:hAnsi="Montserrat" w:cs="Open Sans"/>
          <w:b/>
          <w:bCs/>
          <w:color w:val="474747"/>
          <w:kern w:val="0"/>
          <w:sz w:val="26"/>
          <w:szCs w:val="26"/>
          <w:lang w:eastAsia="es-UY"/>
          <w14:ligatures w14:val="none"/>
        </w:rPr>
        <w:t xml:space="preserve"> continentales</w:t>
      </w:r>
    </w:p>
    <w:p w14:paraId="1F79A0E1"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Roma ve propuestas como el consejo de cardenales como "el primer paso hacia una estructura de gobierno sinodal permanente a nivel de toda la Iglesia”</w:t>
      </w:r>
    </w:p>
    <w:p w14:paraId="181D9302" w14:textId="77777777" w:rsidR="00965CBC" w:rsidRPr="00965CBC" w:rsidRDefault="00965CBC" w:rsidP="00965CB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hyperlink r:id="rId6" w:history="1">
        <w:r w:rsidRPr="00965CBC">
          <w:rPr>
            <w:rFonts w:ascii="Montserrat" w:eastAsia="Times New Roman" w:hAnsi="Montserrat" w:cs="Open Sans"/>
            <w:b/>
            <w:bCs/>
            <w:color w:val="D49400"/>
            <w:kern w:val="0"/>
            <w:sz w:val="26"/>
            <w:szCs w:val="26"/>
            <w:lang w:eastAsia="es-UY"/>
            <w14:ligatures w14:val="none"/>
          </w:rPr>
          <w:t>Lee aquí el documento</w:t>
        </w:r>
      </w:hyperlink>
    </w:p>
    <w:p w14:paraId="419D8134" w14:textId="77777777" w:rsidR="00965CBC" w:rsidRPr="00965CBC" w:rsidRDefault="00965CBC" w:rsidP="00965CBC">
      <w:pPr>
        <w:shd w:val="clear" w:color="auto" w:fill="FFFFFF"/>
        <w:spacing w:after="150" w:line="240" w:lineRule="auto"/>
        <w:rPr>
          <w:rFonts w:ascii="Open Sans" w:eastAsia="Times New Roman" w:hAnsi="Open Sans" w:cs="Open Sans"/>
          <w:b/>
          <w:bCs/>
          <w:i/>
          <w:iCs/>
          <w:color w:val="333333"/>
          <w:kern w:val="0"/>
          <w:sz w:val="20"/>
          <w:szCs w:val="20"/>
          <w:lang w:eastAsia="es-UY"/>
          <w14:ligatures w14:val="none"/>
        </w:rPr>
      </w:pPr>
      <w:r w:rsidRPr="00965CBC">
        <w:rPr>
          <w:rFonts w:ascii="Open Sans" w:eastAsia="Times New Roman" w:hAnsi="Open Sans" w:cs="Open Sans"/>
          <w:b/>
          <w:bCs/>
          <w:i/>
          <w:iCs/>
          <w:color w:val="333333"/>
          <w:kern w:val="0"/>
          <w:sz w:val="20"/>
          <w:szCs w:val="20"/>
          <w:lang w:eastAsia="es-UY"/>
          <w14:ligatures w14:val="none"/>
        </w:rPr>
        <w:t>13.06.2024 </w:t>
      </w:r>
      <w:hyperlink r:id="rId7" w:history="1">
        <w:r w:rsidRPr="00965CBC">
          <w:rPr>
            <w:rFonts w:ascii="Open Sans" w:eastAsia="Times New Roman" w:hAnsi="Open Sans" w:cs="Open Sans"/>
            <w:b/>
            <w:bCs/>
            <w:i/>
            <w:iCs/>
            <w:color w:val="D49400"/>
            <w:kern w:val="0"/>
            <w:sz w:val="20"/>
            <w:szCs w:val="20"/>
            <w:lang w:eastAsia="es-UY"/>
            <w14:ligatures w14:val="none"/>
          </w:rPr>
          <w:t>Jesús Bastante</w:t>
        </w:r>
      </w:hyperlink>
    </w:p>
    <w:p w14:paraId="52727AB0"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Del Vaticano I al Vaticano II, de la infalibilidad papal a una </w:t>
      </w:r>
      <w:r w:rsidRPr="00965CBC">
        <w:rPr>
          <w:rFonts w:ascii="Open Sans" w:eastAsia="Times New Roman" w:hAnsi="Open Sans" w:cs="Open Sans"/>
          <w:b/>
          <w:bCs/>
          <w:color w:val="474747"/>
          <w:kern w:val="0"/>
          <w:sz w:val="21"/>
          <w:szCs w:val="21"/>
          <w:lang w:eastAsia="es-UY"/>
          <w14:ligatures w14:val="none"/>
        </w:rPr>
        <w:t>“reformulación” del primado del Obispo de Roma,</w:t>
      </w:r>
      <w:r w:rsidRPr="00965CBC">
        <w:rPr>
          <w:rFonts w:ascii="Open Sans" w:eastAsia="Times New Roman" w:hAnsi="Open Sans" w:cs="Open Sans"/>
          <w:color w:val="333333"/>
          <w:kern w:val="0"/>
          <w:sz w:val="21"/>
          <w:szCs w:val="21"/>
          <w:lang w:eastAsia="es-UY"/>
          <w14:ligatures w14:val="none"/>
        </w:rPr>
        <w:t> con una visión más unitaria, más compartida, más sinodal. Estas son algunas de las claves de ‘</w:t>
      </w:r>
      <w:hyperlink r:id="rId8" w:history="1">
        <w:r w:rsidRPr="00965CBC">
          <w:rPr>
            <w:rFonts w:ascii="Open Sans" w:eastAsia="Times New Roman" w:hAnsi="Open Sans" w:cs="Open Sans"/>
            <w:color w:val="D49400"/>
            <w:kern w:val="0"/>
            <w:sz w:val="21"/>
            <w:szCs w:val="21"/>
            <w:lang w:eastAsia="es-UY"/>
            <w14:ligatures w14:val="none"/>
          </w:rPr>
          <w:t>El obispo de Roma’,</w:t>
        </w:r>
      </w:hyperlink>
      <w:r w:rsidRPr="00965CBC">
        <w:rPr>
          <w:rFonts w:ascii="Open Sans" w:eastAsia="Times New Roman" w:hAnsi="Open Sans" w:cs="Open Sans"/>
          <w:color w:val="333333"/>
          <w:kern w:val="0"/>
          <w:sz w:val="21"/>
          <w:szCs w:val="21"/>
          <w:lang w:eastAsia="es-UY"/>
          <w14:ligatures w14:val="none"/>
        </w:rPr>
        <w:t xml:space="preserve"> un documento de estudio sobre el ejercicio de la primacía papal que esta mañana ha publicado el dicasterio para la Promoción de </w:t>
      </w:r>
      <w:proofErr w:type="spellStart"/>
      <w:r w:rsidRPr="00965CBC">
        <w:rPr>
          <w:rFonts w:ascii="Open Sans" w:eastAsia="Times New Roman" w:hAnsi="Open Sans" w:cs="Open Sans"/>
          <w:color w:val="333333"/>
          <w:kern w:val="0"/>
          <w:sz w:val="21"/>
          <w:szCs w:val="21"/>
          <w:lang w:eastAsia="es-UY"/>
          <w14:ligatures w14:val="none"/>
        </w:rPr>
        <w:t>al</w:t>
      </w:r>
      <w:proofErr w:type="spellEnd"/>
      <w:r w:rsidRPr="00965CBC">
        <w:rPr>
          <w:rFonts w:ascii="Open Sans" w:eastAsia="Times New Roman" w:hAnsi="Open Sans" w:cs="Open Sans"/>
          <w:color w:val="333333"/>
          <w:kern w:val="0"/>
          <w:sz w:val="21"/>
          <w:szCs w:val="21"/>
          <w:lang w:eastAsia="es-UY"/>
          <w14:ligatures w14:val="none"/>
        </w:rPr>
        <w:t xml:space="preserve"> Unidad de los Cristianos, y que pretende “contribuir, en un contexto eclesial, a un</w:t>
      </w:r>
      <w:r w:rsidRPr="00965CBC">
        <w:rPr>
          <w:rFonts w:ascii="Open Sans" w:eastAsia="Times New Roman" w:hAnsi="Open Sans" w:cs="Open Sans"/>
          <w:b/>
          <w:bCs/>
          <w:color w:val="474747"/>
          <w:kern w:val="0"/>
          <w:sz w:val="21"/>
          <w:szCs w:val="21"/>
          <w:lang w:eastAsia="es-UY"/>
          <w14:ligatures w14:val="none"/>
        </w:rPr>
        <w:t> ejercicio sinodal de la primacía, asegurando la participación de todo el Pueblo de Dios</w:t>
      </w:r>
      <w:r w:rsidRPr="00965CBC">
        <w:rPr>
          <w:rFonts w:ascii="Open Sans" w:eastAsia="Times New Roman" w:hAnsi="Open Sans" w:cs="Open Sans"/>
          <w:color w:val="333333"/>
          <w:kern w:val="0"/>
          <w:sz w:val="21"/>
          <w:szCs w:val="21"/>
          <w:lang w:eastAsia="es-UY"/>
          <w14:ligatures w14:val="none"/>
        </w:rPr>
        <w:t> en el proceso de toma de decisiones, especialmente en los asuntos que le afectan directamente”, según se lee en las propuestas finales, tituladas 'Hacia un ejercicio del primado en el siglo XXI'.</w:t>
      </w:r>
    </w:p>
    <w:p w14:paraId="62DF6931"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En las mismas, el Dicasterio para la promoción de la Unidad de los Cristianos propone “reexaminar la forma del papado y su ejercicio de la autoridad al servicio de la comunión eclesial”, en una reflexión “hecha juntos”, entre todas las confesiones cristianas.</w:t>
      </w:r>
    </w:p>
    <w:p w14:paraId="2FD360AE" w14:textId="77777777" w:rsidR="00965CBC" w:rsidRPr="00965CBC" w:rsidRDefault="00965CBC" w:rsidP="00965CB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noProof/>
          <w:color w:val="000000"/>
          <w:kern w:val="0"/>
          <w:sz w:val="21"/>
          <w:szCs w:val="21"/>
          <w:lang w:eastAsia="es-UY"/>
          <w14:ligatures w14:val="none"/>
        </w:rPr>
        <w:lastRenderedPageBreak/>
        <w:drawing>
          <wp:inline distT="0" distB="0" distL="0" distR="0" wp14:anchorId="7496CD72" wp14:editId="71FAB3B5">
            <wp:extent cx="5200650" cy="2919845"/>
            <wp:effectExtent l="0" t="0" r="0" b="0"/>
            <wp:docPr id="2" name="Imagen 5" descr="El Papa, con los patriarcas católicos de medio Or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con los patriarcas católicos de medio Ori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826" cy="2925558"/>
                    </a:xfrm>
                    <a:prstGeom prst="rect">
                      <a:avLst/>
                    </a:prstGeom>
                    <a:noFill/>
                    <a:ln>
                      <a:noFill/>
                    </a:ln>
                  </pic:spPr>
                </pic:pic>
              </a:graphicData>
            </a:graphic>
          </wp:inline>
        </w:drawing>
      </w:r>
    </w:p>
    <w:p w14:paraId="5B30D1EB" w14:textId="77777777" w:rsidR="00965CBC" w:rsidRPr="00965CBC" w:rsidRDefault="00965CBC" w:rsidP="00965CBC">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color w:val="000000"/>
          <w:kern w:val="0"/>
          <w:sz w:val="21"/>
          <w:szCs w:val="21"/>
          <w:lang w:eastAsia="es-UY"/>
          <w14:ligatures w14:val="none"/>
        </w:rPr>
        <w:t>El Papa, con los patriarcas católicos de medio Oriente </w:t>
      </w:r>
      <w:proofErr w:type="spellStart"/>
      <w:r w:rsidRPr="00965CBC">
        <w:rPr>
          <w:rFonts w:ascii="Open Sans" w:eastAsia="Times New Roman" w:hAnsi="Open Sans" w:cs="Open Sans"/>
          <w:color w:val="8C8C8C"/>
          <w:kern w:val="0"/>
          <w:sz w:val="21"/>
          <w:szCs w:val="21"/>
          <w:lang w:eastAsia="es-UY"/>
          <w14:ligatures w14:val="none"/>
        </w:rPr>
        <w:t>Vatican</w:t>
      </w:r>
      <w:proofErr w:type="spellEnd"/>
      <w:r w:rsidRPr="00965CBC">
        <w:rPr>
          <w:rFonts w:ascii="Open Sans" w:eastAsia="Times New Roman" w:hAnsi="Open Sans" w:cs="Open Sans"/>
          <w:color w:val="8C8C8C"/>
          <w:kern w:val="0"/>
          <w:sz w:val="21"/>
          <w:szCs w:val="21"/>
          <w:lang w:eastAsia="es-UY"/>
          <w14:ligatures w14:val="none"/>
        </w:rPr>
        <w:t xml:space="preserve"> Media</w:t>
      </w:r>
    </w:p>
    <w:p w14:paraId="7AF214FC"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“El ministerio del Obispo de Roma no debe considerarse sólo como un problema, sino también como una oportunidad para una </w:t>
      </w:r>
      <w:r w:rsidRPr="00965CBC">
        <w:rPr>
          <w:rFonts w:ascii="Open Sans" w:eastAsia="Times New Roman" w:hAnsi="Open Sans" w:cs="Open Sans"/>
          <w:b/>
          <w:bCs/>
          <w:color w:val="474747"/>
          <w:kern w:val="0"/>
          <w:sz w:val="21"/>
          <w:szCs w:val="21"/>
          <w:lang w:eastAsia="es-UY"/>
          <w14:ligatures w14:val="none"/>
        </w:rPr>
        <w:t>reflexión común sobre la naturaleza de la Iglesia y su misión en el mundo</w:t>
      </w:r>
      <w:r w:rsidRPr="00965CBC">
        <w:rPr>
          <w:rFonts w:ascii="Open Sans" w:eastAsia="Times New Roman" w:hAnsi="Open Sans" w:cs="Open Sans"/>
          <w:color w:val="333333"/>
          <w:kern w:val="0"/>
          <w:sz w:val="21"/>
          <w:szCs w:val="21"/>
          <w:lang w:eastAsia="es-UY"/>
          <w14:ligatures w14:val="none"/>
        </w:rPr>
        <w:t>”, señala el documento de propuestas, que apunta que “ha llegado el momento de dar nuevos pasos en los diálogos ecuménicos”, y “ponerse de acuerdo sobre un ejercicio aceptable de un ministerio de unidad para toda la Iglesia”.</w:t>
      </w:r>
    </w:p>
    <w:p w14:paraId="341C07FA" w14:textId="77777777" w:rsidR="00965CBC" w:rsidRPr="00965CBC" w:rsidRDefault="00965CBC" w:rsidP="00965CB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 xml:space="preserve">Primacía y </w:t>
      </w:r>
      <w:proofErr w:type="spellStart"/>
      <w:r w:rsidRPr="00965CBC">
        <w:rPr>
          <w:rFonts w:ascii="Montserrat" w:eastAsia="Times New Roman" w:hAnsi="Montserrat" w:cs="Open Sans"/>
          <w:b/>
          <w:bCs/>
          <w:color w:val="474747"/>
          <w:kern w:val="0"/>
          <w:sz w:val="26"/>
          <w:szCs w:val="26"/>
          <w:lang w:eastAsia="es-UY"/>
          <w14:ligatures w14:val="none"/>
        </w:rPr>
        <w:t>sinodalidad</w:t>
      </w:r>
      <w:proofErr w:type="spellEnd"/>
    </w:p>
    <w:p w14:paraId="326AC22F"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“La </w:t>
      </w:r>
      <w:r w:rsidRPr="00965CBC">
        <w:rPr>
          <w:rFonts w:ascii="Open Sans" w:eastAsia="Times New Roman" w:hAnsi="Open Sans" w:cs="Open Sans"/>
          <w:b/>
          <w:bCs/>
          <w:color w:val="474747"/>
          <w:kern w:val="0"/>
          <w:sz w:val="21"/>
          <w:szCs w:val="21"/>
          <w:lang w:eastAsia="es-UY"/>
          <w14:ligatures w14:val="none"/>
        </w:rPr>
        <w:t xml:space="preserve">primacía y la </w:t>
      </w:r>
      <w:proofErr w:type="spellStart"/>
      <w:r w:rsidRPr="00965CBC">
        <w:rPr>
          <w:rFonts w:ascii="Open Sans" w:eastAsia="Times New Roman" w:hAnsi="Open Sans" w:cs="Open Sans"/>
          <w:b/>
          <w:bCs/>
          <w:color w:val="474747"/>
          <w:kern w:val="0"/>
          <w:sz w:val="21"/>
          <w:szCs w:val="21"/>
          <w:lang w:eastAsia="es-UY"/>
          <w14:ligatures w14:val="none"/>
        </w:rPr>
        <w:t>sinodalidad</w:t>
      </w:r>
      <w:proofErr w:type="spellEnd"/>
      <w:r w:rsidRPr="00965CBC">
        <w:rPr>
          <w:rFonts w:ascii="Open Sans" w:eastAsia="Times New Roman" w:hAnsi="Open Sans" w:cs="Open Sans"/>
          <w:color w:val="333333"/>
          <w:kern w:val="0"/>
          <w:sz w:val="21"/>
          <w:szCs w:val="21"/>
          <w:lang w:eastAsia="es-UY"/>
          <w14:ligatures w14:val="none"/>
        </w:rPr>
        <w:t> no son dos dimensiones eclesiales opuestas, sino que son dos realidades mutuamente constitutivas y sustentadoras, y que por lo tanto deben abordarse juntas”, señala el texto, que insiste en que “la primacía romana debe entenderse no tanto como un poder universal en una Iglesia universal (</w:t>
      </w:r>
      <w:proofErr w:type="spellStart"/>
      <w:r w:rsidRPr="00965CBC">
        <w:rPr>
          <w:rFonts w:ascii="Open Sans" w:eastAsia="Times New Roman" w:hAnsi="Open Sans" w:cs="Open Sans"/>
          <w:color w:val="333333"/>
          <w:kern w:val="0"/>
          <w:sz w:val="21"/>
          <w:szCs w:val="21"/>
          <w:lang w:eastAsia="es-UY"/>
          <w14:ligatures w14:val="none"/>
        </w:rPr>
        <w:t>Ecclesia</w:t>
      </w:r>
      <w:proofErr w:type="spellEnd"/>
      <w:r w:rsidRPr="00965CBC">
        <w:rPr>
          <w:rFonts w:ascii="Open Sans" w:eastAsia="Times New Roman" w:hAnsi="Open Sans" w:cs="Open Sans"/>
          <w:color w:val="333333"/>
          <w:kern w:val="0"/>
          <w:sz w:val="21"/>
          <w:szCs w:val="21"/>
          <w:lang w:eastAsia="es-UY"/>
          <w14:ligatures w14:val="none"/>
        </w:rPr>
        <w:t xml:space="preserve"> </w:t>
      </w:r>
      <w:proofErr w:type="spellStart"/>
      <w:r w:rsidRPr="00965CBC">
        <w:rPr>
          <w:rFonts w:ascii="Open Sans" w:eastAsia="Times New Roman" w:hAnsi="Open Sans" w:cs="Open Sans"/>
          <w:color w:val="333333"/>
          <w:kern w:val="0"/>
          <w:sz w:val="21"/>
          <w:szCs w:val="21"/>
          <w:lang w:eastAsia="es-UY"/>
          <w14:ligatures w14:val="none"/>
        </w:rPr>
        <w:t>universalis</w:t>
      </w:r>
      <w:proofErr w:type="spellEnd"/>
      <w:r w:rsidRPr="00965CBC">
        <w:rPr>
          <w:rFonts w:ascii="Open Sans" w:eastAsia="Times New Roman" w:hAnsi="Open Sans" w:cs="Open Sans"/>
          <w:color w:val="333333"/>
          <w:kern w:val="0"/>
          <w:sz w:val="21"/>
          <w:szCs w:val="21"/>
          <w:lang w:eastAsia="es-UY"/>
          <w14:ligatures w14:val="none"/>
        </w:rPr>
        <w:t>), sino como una autoridad al servicio de la comunión entre las Iglesias (</w:t>
      </w:r>
      <w:proofErr w:type="spellStart"/>
      <w:r w:rsidRPr="00965CBC">
        <w:rPr>
          <w:rFonts w:ascii="Open Sans" w:eastAsia="Times New Roman" w:hAnsi="Open Sans" w:cs="Open Sans"/>
          <w:color w:val="333333"/>
          <w:kern w:val="0"/>
          <w:sz w:val="21"/>
          <w:szCs w:val="21"/>
          <w:lang w:eastAsia="es-UY"/>
          <w14:ligatures w14:val="none"/>
        </w:rPr>
        <w:t>communio</w:t>
      </w:r>
      <w:proofErr w:type="spellEnd"/>
      <w:r w:rsidRPr="00965CBC">
        <w:rPr>
          <w:rFonts w:ascii="Open Sans" w:eastAsia="Times New Roman" w:hAnsi="Open Sans" w:cs="Open Sans"/>
          <w:color w:val="333333"/>
          <w:kern w:val="0"/>
          <w:sz w:val="21"/>
          <w:szCs w:val="21"/>
          <w:lang w:eastAsia="es-UY"/>
          <w14:ligatures w14:val="none"/>
        </w:rPr>
        <w:t xml:space="preserve"> </w:t>
      </w:r>
      <w:proofErr w:type="spellStart"/>
      <w:r w:rsidRPr="00965CBC">
        <w:rPr>
          <w:rFonts w:ascii="Open Sans" w:eastAsia="Times New Roman" w:hAnsi="Open Sans" w:cs="Open Sans"/>
          <w:color w:val="333333"/>
          <w:kern w:val="0"/>
          <w:sz w:val="21"/>
          <w:szCs w:val="21"/>
          <w:lang w:eastAsia="es-UY"/>
          <w14:ligatures w14:val="none"/>
        </w:rPr>
        <w:t>Ecclesiarum</w:t>
      </w:r>
      <w:proofErr w:type="spellEnd"/>
      <w:r w:rsidRPr="00965CBC">
        <w:rPr>
          <w:rFonts w:ascii="Open Sans" w:eastAsia="Times New Roman" w:hAnsi="Open Sans" w:cs="Open Sans"/>
          <w:color w:val="333333"/>
          <w:kern w:val="0"/>
          <w:sz w:val="21"/>
          <w:szCs w:val="21"/>
          <w:lang w:eastAsia="es-UY"/>
          <w14:ligatures w14:val="none"/>
        </w:rPr>
        <w:t>), es decir, de toda la Iglesia (</w:t>
      </w:r>
      <w:proofErr w:type="spellStart"/>
      <w:r w:rsidRPr="00965CBC">
        <w:rPr>
          <w:rFonts w:ascii="Open Sans" w:eastAsia="Times New Roman" w:hAnsi="Open Sans" w:cs="Open Sans"/>
          <w:color w:val="333333"/>
          <w:kern w:val="0"/>
          <w:sz w:val="21"/>
          <w:szCs w:val="21"/>
          <w:lang w:eastAsia="es-UY"/>
          <w14:ligatures w14:val="none"/>
        </w:rPr>
        <w:t>Ecclesia</w:t>
      </w:r>
      <w:proofErr w:type="spellEnd"/>
      <w:r w:rsidRPr="00965CBC">
        <w:rPr>
          <w:rFonts w:ascii="Open Sans" w:eastAsia="Times New Roman" w:hAnsi="Open Sans" w:cs="Open Sans"/>
          <w:color w:val="333333"/>
          <w:kern w:val="0"/>
          <w:sz w:val="21"/>
          <w:szCs w:val="21"/>
          <w:lang w:eastAsia="es-UY"/>
          <w14:ligatures w14:val="none"/>
        </w:rPr>
        <w:t xml:space="preserve"> universa)”. </w:t>
      </w:r>
    </w:p>
    <w:p w14:paraId="44A8600A" w14:textId="77777777" w:rsidR="00965CBC" w:rsidRPr="00965CBC" w:rsidRDefault="00965CBC" w:rsidP="00965CB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noProof/>
          <w:color w:val="000000"/>
          <w:kern w:val="0"/>
          <w:sz w:val="21"/>
          <w:szCs w:val="21"/>
          <w:lang w:eastAsia="es-UY"/>
          <w14:ligatures w14:val="none"/>
        </w:rPr>
        <w:lastRenderedPageBreak/>
        <w:drawing>
          <wp:inline distT="0" distB="0" distL="0" distR="0" wp14:anchorId="3BEDB7CE" wp14:editId="2C6CC272">
            <wp:extent cx="5378450" cy="3019669"/>
            <wp:effectExtent l="0" t="0" r="0" b="9525"/>
            <wp:docPr id="3" name="Imagen 4" descr="infal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alibilid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831" cy="3023813"/>
                    </a:xfrm>
                    <a:prstGeom prst="rect">
                      <a:avLst/>
                    </a:prstGeom>
                    <a:noFill/>
                    <a:ln>
                      <a:noFill/>
                    </a:ln>
                  </pic:spPr>
                </pic:pic>
              </a:graphicData>
            </a:graphic>
          </wp:inline>
        </w:drawing>
      </w:r>
    </w:p>
    <w:p w14:paraId="0A7926BE" w14:textId="77777777" w:rsidR="00965CBC" w:rsidRPr="00965CBC" w:rsidRDefault="00965CBC" w:rsidP="00965CBC">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color w:val="000000"/>
          <w:kern w:val="0"/>
          <w:sz w:val="21"/>
          <w:szCs w:val="21"/>
          <w:lang w:eastAsia="es-UY"/>
          <w14:ligatures w14:val="none"/>
        </w:rPr>
        <w:t>infalibilidad</w:t>
      </w:r>
    </w:p>
    <w:p w14:paraId="64D008F5"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“Parece particularmente importante la llamada a una "</w:t>
      </w:r>
      <w:proofErr w:type="spellStart"/>
      <w:r w:rsidRPr="00965CBC">
        <w:rPr>
          <w:rFonts w:ascii="Open Sans" w:eastAsia="Times New Roman" w:hAnsi="Open Sans" w:cs="Open Sans"/>
          <w:b/>
          <w:bCs/>
          <w:color w:val="474747"/>
          <w:kern w:val="0"/>
          <w:sz w:val="21"/>
          <w:szCs w:val="21"/>
          <w:lang w:eastAsia="es-UY"/>
          <w14:ligatures w14:val="none"/>
        </w:rPr>
        <w:t>re-recepción</w:t>
      </w:r>
      <w:proofErr w:type="spellEnd"/>
      <w:r w:rsidRPr="00965CBC">
        <w:rPr>
          <w:rFonts w:ascii="Open Sans" w:eastAsia="Times New Roman" w:hAnsi="Open Sans" w:cs="Open Sans"/>
          <w:b/>
          <w:bCs/>
          <w:color w:val="474747"/>
          <w:kern w:val="0"/>
          <w:sz w:val="21"/>
          <w:szCs w:val="21"/>
          <w:lang w:eastAsia="es-UY"/>
          <w14:ligatures w14:val="none"/>
        </w:rPr>
        <w:t>" católica o comentario oficial del Vaticano I. Asumiendo la regla hermenéutica de que los dogmas del Vaticano I deben leerse a la luz del Vaticano II,</w:t>
      </w:r>
      <w:r w:rsidRPr="00965CBC">
        <w:rPr>
          <w:rFonts w:ascii="Open Sans" w:eastAsia="Times New Roman" w:hAnsi="Open Sans" w:cs="Open Sans"/>
          <w:color w:val="333333"/>
          <w:kern w:val="0"/>
          <w:sz w:val="21"/>
          <w:szCs w:val="21"/>
          <w:lang w:eastAsia="es-UY"/>
          <w14:ligatures w14:val="none"/>
        </w:rPr>
        <w:t> especialmente su enseñanza sobre el Pueblo de Dios y la colegialidad, algunos diálogos reflejan que </w:t>
      </w:r>
      <w:r w:rsidRPr="00965CBC">
        <w:rPr>
          <w:rFonts w:ascii="Open Sans" w:eastAsia="Times New Roman" w:hAnsi="Open Sans" w:cs="Open Sans"/>
          <w:b/>
          <w:bCs/>
          <w:color w:val="474747"/>
          <w:kern w:val="0"/>
          <w:sz w:val="21"/>
          <w:szCs w:val="21"/>
          <w:lang w:eastAsia="es-UY"/>
          <w14:ligatures w14:val="none"/>
        </w:rPr>
        <w:t>el Vaticano II no interpretó explícitamente el Vaticano I,</w:t>
      </w:r>
      <w:r w:rsidRPr="00965CBC">
        <w:rPr>
          <w:rFonts w:ascii="Open Sans" w:eastAsia="Times New Roman" w:hAnsi="Open Sans" w:cs="Open Sans"/>
          <w:color w:val="333333"/>
          <w:kern w:val="0"/>
          <w:sz w:val="21"/>
          <w:szCs w:val="21"/>
          <w:lang w:eastAsia="es-UY"/>
          <w14:ligatures w14:val="none"/>
        </w:rPr>
        <w:t xml:space="preserve"> sino que, al tiempo que incorporaba su enseñanza, la complementaba”, añade el documento que ve “necesario presentar la enseñanza católica sobre la primacía a la luz de una eclesiología </w:t>
      </w:r>
      <w:proofErr w:type="spellStart"/>
      <w:r w:rsidRPr="00965CBC">
        <w:rPr>
          <w:rFonts w:ascii="Open Sans" w:eastAsia="Times New Roman" w:hAnsi="Open Sans" w:cs="Open Sans"/>
          <w:color w:val="333333"/>
          <w:kern w:val="0"/>
          <w:sz w:val="21"/>
          <w:szCs w:val="21"/>
          <w:lang w:eastAsia="es-UY"/>
          <w14:ligatures w14:val="none"/>
        </w:rPr>
        <w:t>communio</w:t>
      </w:r>
      <w:proofErr w:type="spellEnd"/>
      <w:r w:rsidRPr="00965CBC">
        <w:rPr>
          <w:rFonts w:ascii="Open Sans" w:eastAsia="Times New Roman" w:hAnsi="Open Sans" w:cs="Open Sans"/>
          <w:color w:val="333333"/>
          <w:kern w:val="0"/>
          <w:sz w:val="21"/>
          <w:szCs w:val="21"/>
          <w:lang w:eastAsia="es-UY"/>
          <w14:ligatures w14:val="none"/>
        </w:rPr>
        <w:t>, en el marco de la "jerarquía de las verdades", así como “releer el Vaticano I a la luz de toda la Tradición”. “Es necesario aclarar la terminología adoptada, que a menudo sigue siendo equívoca y abierta a interpretaciones erróneas, por ejemplo: jurisdicción ordinaria, inmediata y universal; infalibilidad; gobierno; autoridad y poder Supremos”, recalca.</w:t>
      </w:r>
    </w:p>
    <w:p w14:paraId="1BF49937" w14:textId="77777777" w:rsidR="00965CBC" w:rsidRPr="00965CBC" w:rsidRDefault="00965CBC" w:rsidP="00965CBC">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965CBC">
        <w:rPr>
          <w:rFonts w:ascii="Montserrat" w:eastAsia="Times New Roman" w:hAnsi="Montserrat" w:cs="Open Sans"/>
          <w:b/>
          <w:bCs/>
          <w:i/>
          <w:iCs/>
          <w:color w:val="D49400"/>
          <w:kern w:val="0"/>
          <w:sz w:val="24"/>
          <w:szCs w:val="24"/>
          <w:lang w:eastAsia="es-UY"/>
          <w14:ligatures w14:val="none"/>
        </w:rPr>
        <w:t>“Es necesario aclarar la terminología adoptada, que a menudo sigue siendo equívoca y abierta a interpretaciones erróneas, por ejemplo: jurisdicción ordinaria, inmediata y universal; infalibilidad; gobierno; autoridad y poder Supremos”</w:t>
      </w:r>
    </w:p>
    <w:p w14:paraId="11A69046" w14:textId="77777777" w:rsidR="00965CBC" w:rsidRPr="00965CBC" w:rsidRDefault="00965CBC" w:rsidP="00965CB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Cabeza de la Iglesia y ministerio de unidad</w:t>
      </w:r>
    </w:p>
    <w:p w14:paraId="3DF9973C"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“Otra propuesta importante es que se establezca una d</w:t>
      </w:r>
      <w:r w:rsidRPr="00965CBC">
        <w:rPr>
          <w:rFonts w:ascii="Open Sans" w:eastAsia="Times New Roman" w:hAnsi="Open Sans" w:cs="Open Sans"/>
          <w:b/>
          <w:bCs/>
          <w:color w:val="474747"/>
          <w:kern w:val="0"/>
          <w:sz w:val="21"/>
          <w:szCs w:val="21"/>
          <w:lang w:eastAsia="es-UY"/>
          <w14:ligatures w14:val="none"/>
        </w:rPr>
        <w:t>istinción más clara entre las diferentes responsabilidades del Papa</w:t>
      </w:r>
      <w:r w:rsidRPr="00965CBC">
        <w:rPr>
          <w:rFonts w:ascii="Open Sans" w:eastAsia="Times New Roman" w:hAnsi="Open Sans" w:cs="Open Sans"/>
          <w:color w:val="333333"/>
          <w:kern w:val="0"/>
          <w:sz w:val="21"/>
          <w:szCs w:val="21"/>
          <w:lang w:eastAsia="es-UY"/>
          <w14:ligatures w14:val="none"/>
        </w:rPr>
        <w:t>, especialmente entre su ministerio como cabeza de la Iglesia católica y su ministerio de unidad entre todos los cristianos, o más concretamente entre su ministerio patriarcal en la Iglesia latina y su ministerio primordial en la comunión de las Iglesias”, recalca el documento, que admite que el uso de “obispo de Roma” fomentado por Francisco gira en esta línea de trabajo.</w:t>
      </w:r>
    </w:p>
    <w:p w14:paraId="2B2BAF6A" w14:textId="77777777" w:rsidR="00965CBC" w:rsidRPr="00965CBC" w:rsidRDefault="00965CBC" w:rsidP="00965CB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noProof/>
          <w:color w:val="000000"/>
          <w:kern w:val="0"/>
          <w:sz w:val="21"/>
          <w:szCs w:val="21"/>
          <w:lang w:eastAsia="es-UY"/>
          <w14:ligatures w14:val="none"/>
        </w:rPr>
        <w:lastRenderedPageBreak/>
        <w:drawing>
          <wp:inline distT="0" distB="0" distL="0" distR="0" wp14:anchorId="0DDBE83D" wp14:editId="446E3E6D">
            <wp:extent cx="4883150" cy="2741589"/>
            <wp:effectExtent l="0" t="0" r="0" b="1905"/>
            <wp:docPr id="4" name="Imagen 3" descr="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odalid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3872" cy="2747609"/>
                    </a:xfrm>
                    <a:prstGeom prst="rect">
                      <a:avLst/>
                    </a:prstGeom>
                    <a:noFill/>
                    <a:ln>
                      <a:noFill/>
                    </a:ln>
                  </pic:spPr>
                </pic:pic>
              </a:graphicData>
            </a:graphic>
          </wp:inline>
        </w:drawing>
      </w:r>
    </w:p>
    <w:p w14:paraId="45F54E73" w14:textId="77777777" w:rsidR="00965CBC" w:rsidRPr="00965CBC" w:rsidRDefault="00965CBC" w:rsidP="00965CBC">
      <w:pPr>
        <w:shd w:val="clear" w:color="auto" w:fill="FFFFFF"/>
        <w:spacing w:line="240" w:lineRule="auto"/>
        <w:rPr>
          <w:rFonts w:ascii="Open Sans" w:eastAsia="Times New Roman" w:hAnsi="Open Sans" w:cs="Open Sans"/>
          <w:color w:val="000000"/>
          <w:kern w:val="0"/>
          <w:sz w:val="21"/>
          <w:szCs w:val="21"/>
          <w:lang w:eastAsia="es-UY"/>
          <w14:ligatures w14:val="none"/>
        </w:rPr>
      </w:pPr>
      <w:proofErr w:type="spellStart"/>
      <w:r w:rsidRPr="00965CBC">
        <w:rPr>
          <w:rFonts w:ascii="Open Sans" w:eastAsia="Times New Roman" w:hAnsi="Open Sans" w:cs="Open Sans"/>
          <w:color w:val="000000"/>
          <w:kern w:val="0"/>
          <w:sz w:val="21"/>
          <w:szCs w:val="21"/>
          <w:lang w:eastAsia="es-UY"/>
          <w14:ligatures w14:val="none"/>
        </w:rPr>
        <w:t>Sinodalidad</w:t>
      </w:r>
      <w:proofErr w:type="spellEnd"/>
    </w:p>
    <w:p w14:paraId="6ECF5C8E"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Y es que, añade el texto, </w:t>
      </w:r>
      <w:r w:rsidRPr="00965CBC">
        <w:rPr>
          <w:rFonts w:ascii="Open Sans" w:eastAsia="Times New Roman" w:hAnsi="Open Sans" w:cs="Open Sans"/>
          <w:b/>
          <w:bCs/>
          <w:color w:val="474747"/>
          <w:kern w:val="0"/>
          <w:sz w:val="21"/>
          <w:szCs w:val="21"/>
          <w:lang w:eastAsia="es-UY"/>
          <w14:ligatures w14:val="none"/>
        </w:rPr>
        <w:t>“la configuración sinodal de la Iglesia católica es crucial para su compromiso ecuménico”</w:t>
      </w:r>
      <w:r w:rsidRPr="00965CBC">
        <w:rPr>
          <w:rFonts w:ascii="Open Sans" w:eastAsia="Times New Roman" w:hAnsi="Open Sans" w:cs="Open Sans"/>
          <w:color w:val="333333"/>
          <w:kern w:val="0"/>
          <w:sz w:val="21"/>
          <w:szCs w:val="21"/>
          <w:lang w:eastAsia="es-UY"/>
          <w14:ligatures w14:val="none"/>
        </w:rPr>
        <w:t xml:space="preserve">. “Es un deber que la Iglesia católica debe a sus interlocutores demostrar en su propia vida eclesial un modelo convincente y atractivo de </w:t>
      </w:r>
      <w:proofErr w:type="spellStart"/>
      <w:r w:rsidRPr="00965CBC">
        <w:rPr>
          <w:rFonts w:ascii="Open Sans" w:eastAsia="Times New Roman" w:hAnsi="Open Sans" w:cs="Open Sans"/>
          <w:color w:val="333333"/>
          <w:kern w:val="0"/>
          <w:sz w:val="21"/>
          <w:szCs w:val="21"/>
          <w:lang w:eastAsia="es-UY"/>
          <w14:ligatures w14:val="none"/>
        </w:rPr>
        <w:t>sinodalidad</w:t>
      </w:r>
      <w:proofErr w:type="spellEnd"/>
      <w:r w:rsidRPr="00965CBC">
        <w:rPr>
          <w:rFonts w:ascii="Open Sans" w:eastAsia="Times New Roman" w:hAnsi="Open Sans" w:cs="Open Sans"/>
          <w:color w:val="333333"/>
          <w:kern w:val="0"/>
          <w:sz w:val="21"/>
          <w:szCs w:val="21"/>
          <w:lang w:eastAsia="es-UY"/>
          <w14:ligatures w14:val="none"/>
        </w:rPr>
        <w:t xml:space="preserve">”. Porque “es evidente que el modo en que la Iglesia católica vive la </w:t>
      </w:r>
      <w:proofErr w:type="spellStart"/>
      <w:r w:rsidRPr="00965CBC">
        <w:rPr>
          <w:rFonts w:ascii="Open Sans" w:eastAsia="Times New Roman" w:hAnsi="Open Sans" w:cs="Open Sans"/>
          <w:color w:val="333333"/>
          <w:kern w:val="0"/>
          <w:sz w:val="21"/>
          <w:szCs w:val="21"/>
          <w:lang w:eastAsia="es-UY"/>
          <w14:ligatures w14:val="none"/>
        </w:rPr>
        <w:t>sinodalidad</w:t>
      </w:r>
      <w:proofErr w:type="spellEnd"/>
      <w:r w:rsidRPr="00965CBC">
        <w:rPr>
          <w:rFonts w:ascii="Open Sans" w:eastAsia="Times New Roman" w:hAnsi="Open Sans" w:cs="Open Sans"/>
          <w:color w:val="333333"/>
          <w:kern w:val="0"/>
          <w:sz w:val="21"/>
          <w:szCs w:val="21"/>
          <w:lang w:eastAsia="es-UY"/>
          <w14:ligatures w14:val="none"/>
        </w:rPr>
        <w:t xml:space="preserve"> es importante para sus relaciones con los demás cristianos. Es un desafío para el ecumenismo".</w:t>
      </w:r>
    </w:p>
    <w:p w14:paraId="241E9811" w14:textId="77777777" w:rsidR="00965CBC" w:rsidRPr="00965CBC" w:rsidRDefault="00965CBC" w:rsidP="00965CB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Recuperar estructuras sinodales</w:t>
      </w:r>
    </w:p>
    <w:p w14:paraId="44BC8DFB"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“A nivel local y regional, parece necesario recuperar y reforzar estructuras sinodales que incluyan a todos los fieles, tal como prevé el Vaticano II y contempla el Código de Derecho Canónico, como los consejos pastorales diocesanos (CIC can. 511-514), los sínodos diocesanos (CIC can. 460-468), y también los concilios plenarios y provinciales (CIC can. 439-445), que rara vez o nunca se convocan”, señalan las propuestas vaticanas. “También es importante tener en cuenta el llamamiento del Concilio Vaticano II sobre las </w:t>
      </w:r>
      <w:r w:rsidRPr="00965CBC">
        <w:rPr>
          <w:rFonts w:ascii="Open Sans" w:eastAsia="Times New Roman" w:hAnsi="Open Sans" w:cs="Open Sans"/>
          <w:b/>
          <w:bCs/>
          <w:color w:val="474747"/>
          <w:kern w:val="0"/>
          <w:sz w:val="21"/>
          <w:szCs w:val="21"/>
          <w:lang w:eastAsia="es-UY"/>
          <w14:ligatures w14:val="none"/>
        </w:rPr>
        <w:t>conferencias episcopales” y los organismos episcopales continentales.</w:t>
      </w:r>
    </w:p>
    <w:p w14:paraId="109FACCE" w14:textId="77777777" w:rsidR="00965CBC" w:rsidRPr="00965CBC" w:rsidRDefault="00965CBC" w:rsidP="00965CBC">
      <w:pPr>
        <w:shd w:val="clear" w:color="auto" w:fill="FFFFFF"/>
        <w:spacing w:after="0" w:line="300" w:lineRule="atLeast"/>
        <w:rPr>
          <w:rFonts w:ascii="Open Sans" w:eastAsia="Times New Roman" w:hAnsi="Open Sans" w:cs="Open Sans"/>
          <w:b/>
          <w:bCs/>
          <w:color w:val="474747"/>
          <w:kern w:val="0"/>
          <w:sz w:val="21"/>
          <w:szCs w:val="21"/>
          <w:lang w:eastAsia="es-UY"/>
          <w14:ligatures w14:val="none"/>
        </w:rPr>
      </w:pPr>
      <w:r w:rsidRPr="00965CBC">
        <w:rPr>
          <w:rFonts w:ascii="Open Sans" w:eastAsia="Times New Roman" w:hAnsi="Open Sans" w:cs="Open Sans"/>
          <w:b/>
          <w:bCs/>
          <w:noProof/>
          <w:color w:val="474747"/>
          <w:kern w:val="0"/>
          <w:sz w:val="21"/>
          <w:szCs w:val="21"/>
          <w:lang w:eastAsia="es-UY"/>
          <w14:ligatures w14:val="none"/>
        </w:rPr>
        <w:lastRenderedPageBreak/>
        <w:drawing>
          <wp:inline distT="0" distB="0" distL="0" distR="0" wp14:anchorId="0556D1BA" wp14:editId="0A81A520">
            <wp:extent cx="5175250" cy="2905585"/>
            <wp:effectExtent l="0" t="0" r="6350" b="9525"/>
            <wp:docPr id="5" name="Imagen 2" descr="colegi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gialid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9142" cy="2907770"/>
                    </a:xfrm>
                    <a:prstGeom prst="rect">
                      <a:avLst/>
                    </a:prstGeom>
                    <a:noFill/>
                    <a:ln>
                      <a:noFill/>
                    </a:ln>
                  </pic:spPr>
                </pic:pic>
              </a:graphicData>
            </a:graphic>
          </wp:inline>
        </w:drawing>
      </w:r>
    </w:p>
    <w:p w14:paraId="58B50D69" w14:textId="77777777" w:rsidR="00965CBC" w:rsidRPr="00965CBC" w:rsidRDefault="00965CBC" w:rsidP="00965CBC">
      <w:pPr>
        <w:shd w:val="clear" w:color="auto" w:fill="FFFFFF"/>
        <w:spacing w:line="300" w:lineRule="atLeast"/>
        <w:rPr>
          <w:rFonts w:ascii="Open Sans" w:eastAsia="Times New Roman" w:hAnsi="Open Sans" w:cs="Open Sans"/>
          <w:b/>
          <w:bCs/>
          <w:color w:val="474747"/>
          <w:kern w:val="0"/>
          <w:sz w:val="21"/>
          <w:szCs w:val="21"/>
          <w:lang w:eastAsia="es-UY"/>
          <w14:ligatures w14:val="none"/>
        </w:rPr>
      </w:pPr>
      <w:r w:rsidRPr="00965CBC">
        <w:rPr>
          <w:rFonts w:ascii="Open Sans" w:eastAsia="Times New Roman" w:hAnsi="Open Sans" w:cs="Open Sans"/>
          <w:b/>
          <w:bCs/>
          <w:color w:val="474747"/>
          <w:kern w:val="0"/>
          <w:sz w:val="21"/>
          <w:szCs w:val="21"/>
          <w:lang w:eastAsia="es-UY"/>
          <w14:ligatures w14:val="none"/>
        </w:rPr>
        <w:t>colegialidad</w:t>
      </w:r>
    </w:p>
    <w:p w14:paraId="34D0664A"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“A nivel universal, el Código de Derecho Canónico y el Código de Cánones de las Iglesias Orientales ofrecen disposiciones para </w:t>
      </w:r>
      <w:r w:rsidRPr="00965CBC">
        <w:rPr>
          <w:rFonts w:ascii="Open Sans" w:eastAsia="Times New Roman" w:hAnsi="Open Sans" w:cs="Open Sans"/>
          <w:b/>
          <w:bCs/>
          <w:color w:val="474747"/>
          <w:kern w:val="0"/>
          <w:sz w:val="21"/>
          <w:szCs w:val="21"/>
          <w:lang w:eastAsia="es-UY"/>
          <w14:ligatures w14:val="none"/>
        </w:rPr>
        <w:t>un ejercicio más colegial del ministerio papal</w:t>
      </w:r>
      <w:r w:rsidRPr="00965CBC">
        <w:rPr>
          <w:rFonts w:ascii="Open Sans" w:eastAsia="Times New Roman" w:hAnsi="Open Sans" w:cs="Open Sans"/>
          <w:color w:val="333333"/>
          <w:kern w:val="0"/>
          <w:sz w:val="21"/>
          <w:szCs w:val="21"/>
          <w:lang w:eastAsia="es-UY"/>
          <w14:ligatures w14:val="none"/>
        </w:rPr>
        <w:t>”, apunta el dicasterio, que aboga por “una futura revisión” de ambos textos para promover “un ejercicio colegial  en el gobierno de la Iglesia y en la formulación de la enseñanza infalible”. </w:t>
      </w:r>
      <w:r w:rsidRPr="00965CBC">
        <w:rPr>
          <w:rFonts w:ascii="Open Sans" w:eastAsia="Times New Roman" w:hAnsi="Open Sans" w:cs="Open Sans"/>
          <w:b/>
          <w:bCs/>
          <w:color w:val="474747"/>
          <w:kern w:val="0"/>
          <w:sz w:val="21"/>
          <w:szCs w:val="21"/>
          <w:lang w:eastAsia="es-UY"/>
          <w14:ligatures w14:val="none"/>
        </w:rPr>
        <w:t>El Sínodo de los Obispos o la reforma de la Curia van en esta línea</w:t>
      </w:r>
      <w:r w:rsidRPr="00965CBC">
        <w:rPr>
          <w:rFonts w:ascii="Open Sans" w:eastAsia="Times New Roman" w:hAnsi="Open Sans" w:cs="Open Sans"/>
          <w:color w:val="333333"/>
          <w:kern w:val="0"/>
          <w:sz w:val="21"/>
          <w:szCs w:val="21"/>
          <w:lang w:eastAsia="es-UY"/>
          <w14:ligatures w14:val="none"/>
        </w:rPr>
        <w:t>. Especialmente importante fue la creación del </w:t>
      </w:r>
      <w:r w:rsidRPr="00965CBC">
        <w:rPr>
          <w:rFonts w:ascii="Open Sans" w:eastAsia="Times New Roman" w:hAnsi="Open Sans" w:cs="Open Sans"/>
          <w:b/>
          <w:bCs/>
          <w:color w:val="474747"/>
          <w:kern w:val="0"/>
          <w:sz w:val="21"/>
          <w:szCs w:val="21"/>
          <w:lang w:eastAsia="es-UY"/>
          <w14:ligatures w14:val="none"/>
        </w:rPr>
        <w:t>Consejo de Cardenales</w:t>
      </w:r>
      <w:r w:rsidRPr="00965CBC">
        <w:rPr>
          <w:rFonts w:ascii="Open Sans" w:eastAsia="Times New Roman" w:hAnsi="Open Sans" w:cs="Open Sans"/>
          <w:color w:val="333333"/>
          <w:kern w:val="0"/>
          <w:sz w:val="21"/>
          <w:szCs w:val="21"/>
          <w:lang w:eastAsia="es-UY"/>
          <w14:ligatures w14:val="none"/>
        </w:rPr>
        <w:t> que, “junto con los Consistorios ordinarios y extraordinarios, podría ser el primer paso hacia una estructura de gobierno sinodal permanente a nivel de toda la Iglesia”, así como el “sínodo permanente”, que ya fuera propuesto por algunos padres conciliares.</w:t>
      </w:r>
    </w:p>
    <w:p w14:paraId="39F0E300"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 “</w:t>
      </w:r>
      <w:r w:rsidRPr="00965CBC">
        <w:rPr>
          <w:rFonts w:ascii="Open Sans" w:eastAsia="Times New Roman" w:hAnsi="Open Sans" w:cs="Open Sans"/>
          <w:b/>
          <w:bCs/>
          <w:color w:val="474747"/>
          <w:kern w:val="0"/>
          <w:sz w:val="21"/>
          <w:szCs w:val="21"/>
          <w:lang w:eastAsia="es-UY"/>
          <w14:ligatures w14:val="none"/>
        </w:rPr>
        <w:t>Tal vez sea posible que la Iglesia católica renueve el ejercicio del ministerio del Obispo de Roma</w:t>
      </w:r>
      <w:r w:rsidRPr="00965CBC">
        <w:rPr>
          <w:rFonts w:ascii="Open Sans" w:eastAsia="Times New Roman" w:hAnsi="Open Sans" w:cs="Open Sans"/>
          <w:color w:val="333333"/>
          <w:kern w:val="0"/>
          <w:sz w:val="21"/>
          <w:szCs w:val="21"/>
          <w:lang w:eastAsia="es-UY"/>
          <w14:ligatures w14:val="none"/>
        </w:rPr>
        <w:t> y proponga un modelo de comunión basado en "un servicio de amor reconocido por todos los interesados"”, culmina el documento del dicasterio presidido por Kurt Koch, para alcanzar “un primado para toda la Iglesia que promueva la unidad y la misión cristianas”.</w:t>
      </w:r>
    </w:p>
    <w:p w14:paraId="694140BA" w14:textId="77777777" w:rsidR="00965CBC" w:rsidRPr="00965CBC" w:rsidRDefault="00965CBC" w:rsidP="00965CB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noProof/>
          <w:color w:val="000000"/>
          <w:kern w:val="0"/>
          <w:sz w:val="21"/>
          <w:szCs w:val="21"/>
          <w:lang w:eastAsia="es-UY"/>
          <w14:ligatures w14:val="none"/>
        </w:rPr>
        <w:lastRenderedPageBreak/>
        <w:drawing>
          <wp:inline distT="0" distB="0" distL="0" distR="0" wp14:anchorId="348E5B21" wp14:editId="74FD376B">
            <wp:extent cx="5349739" cy="3003550"/>
            <wp:effectExtent l="0" t="0" r="3810" b="6350"/>
            <wp:docPr id="6" name="Imagen 1" descr="Semana de oración por la unidad de lo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ana de oración por la unidad de los cristian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9002" cy="3014365"/>
                    </a:xfrm>
                    <a:prstGeom prst="rect">
                      <a:avLst/>
                    </a:prstGeom>
                    <a:noFill/>
                    <a:ln>
                      <a:noFill/>
                    </a:ln>
                  </pic:spPr>
                </pic:pic>
              </a:graphicData>
            </a:graphic>
          </wp:inline>
        </w:drawing>
      </w:r>
    </w:p>
    <w:p w14:paraId="075D1596" w14:textId="77777777" w:rsidR="00965CBC" w:rsidRPr="00965CBC" w:rsidRDefault="00965CBC" w:rsidP="00965CBC">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65CBC">
        <w:rPr>
          <w:rFonts w:ascii="Open Sans" w:eastAsia="Times New Roman" w:hAnsi="Open Sans" w:cs="Open Sans"/>
          <w:color w:val="000000"/>
          <w:kern w:val="0"/>
          <w:sz w:val="21"/>
          <w:szCs w:val="21"/>
          <w:lang w:eastAsia="es-UY"/>
          <w14:ligatures w14:val="none"/>
        </w:rPr>
        <w:t>Semana de oración por la unidad de los cristianos </w:t>
      </w:r>
      <w:proofErr w:type="spellStart"/>
      <w:r w:rsidRPr="00965CBC">
        <w:rPr>
          <w:rFonts w:ascii="Open Sans" w:eastAsia="Times New Roman" w:hAnsi="Open Sans" w:cs="Open Sans"/>
          <w:color w:val="8C8C8C"/>
          <w:kern w:val="0"/>
          <w:sz w:val="21"/>
          <w:szCs w:val="21"/>
          <w:lang w:eastAsia="es-UY"/>
          <w14:ligatures w14:val="none"/>
        </w:rPr>
        <w:t>Bisbat</w:t>
      </w:r>
      <w:proofErr w:type="spellEnd"/>
      <w:r w:rsidRPr="00965CBC">
        <w:rPr>
          <w:rFonts w:ascii="Open Sans" w:eastAsia="Times New Roman" w:hAnsi="Open Sans" w:cs="Open Sans"/>
          <w:color w:val="8C8C8C"/>
          <w:kern w:val="0"/>
          <w:sz w:val="21"/>
          <w:szCs w:val="21"/>
          <w:lang w:eastAsia="es-UY"/>
          <w14:ligatures w14:val="none"/>
        </w:rPr>
        <w:t xml:space="preserve"> de Tarrasa</w:t>
      </w:r>
    </w:p>
    <w:p w14:paraId="1911D231" w14:textId="77777777" w:rsidR="00965CBC" w:rsidRPr="00965CBC" w:rsidRDefault="00965CBC" w:rsidP="00965CB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965CBC">
        <w:rPr>
          <w:rFonts w:ascii="Montserrat" w:eastAsia="Times New Roman" w:hAnsi="Montserrat" w:cs="Open Sans"/>
          <w:b/>
          <w:bCs/>
          <w:color w:val="474747"/>
          <w:kern w:val="0"/>
          <w:sz w:val="26"/>
          <w:szCs w:val="26"/>
          <w:lang w:eastAsia="es-UY"/>
          <w14:ligatures w14:val="none"/>
        </w:rPr>
        <w:t>Tres años de trabajo para un "documento de estudio"</w:t>
      </w:r>
    </w:p>
    <w:p w14:paraId="5BB96C34"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'El obispo de Roma' es el primer </w:t>
      </w:r>
      <w:r w:rsidRPr="00965CBC">
        <w:rPr>
          <w:rFonts w:ascii="Open Sans" w:eastAsia="Times New Roman" w:hAnsi="Open Sans" w:cs="Open Sans"/>
          <w:b/>
          <w:bCs/>
          <w:color w:val="474747"/>
          <w:kern w:val="0"/>
          <w:sz w:val="21"/>
          <w:szCs w:val="21"/>
          <w:lang w:eastAsia="es-UY"/>
          <w14:ligatures w14:val="none"/>
        </w:rPr>
        <w:t>documento que resume todo el  debate ecuménico sobre el servicio del primado en la Iglesia desde el Concilio Vaticano II</w:t>
      </w:r>
      <w:r w:rsidRPr="00965CBC">
        <w:rPr>
          <w:rFonts w:ascii="Open Sans" w:eastAsia="Times New Roman" w:hAnsi="Open Sans" w:cs="Open Sans"/>
          <w:color w:val="333333"/>
          <w:kern w:val="0"/>
          <w:sz w:val="21"/>
          <w:szCs w:val="21"/>
          <w:lang w:eastAsia="es-UY"/>
          <w14:ligatures w14:val="none"/>
        </w:rPr>
        <w:t xml:space="preserve">. Tres décadas después de la publicación de Ut </w:t>
      </w:r>
      <w:proofErr w:type="spellStart"/>
      <w:r w:rsidRPr="00965CBC">
        <w:rPr>
          <w:rFonts w:ascii="Open Sans" w:eastAsia="Times New Roman" w:hAnsi="Open Sans" w:cs="Open Sans"/>
          <w:color w:val="333333"/>
          <w:kern w:val="0"/>
          <w:sz w:val="21"/>
          <w:szCs w:val="21"/>
          <w:lang w:eastAsia="es-UY"/>
          <w14:ligatures w14:val="none"/>
        </w:rPr>
        <w:t>Unum</w:t>
      </w:r>
      <w:proofErr w:type="spellEnd"/>
      <w:r w:rsidRPr="00965CBC">
        <w:rPr>
          <w:rFonts w:ascii="Open Sans" w:eastAsia="Times New Roman" w:hAnsi="Open Sans" w:cs="Open Sans"/>
          <w:color w:val="333333"/>
          <w:kern w:val="0"/>
          <w:sz w:val="21"/>
          <w:szCs w:val="21"/>
          <w:lang w:eastAsia="es-UY"/>
          <w14:ligatures w14:val="none"/>
        </w:rPr>
        <w:t xml:space="preserve"> </w:t>
      </w:r>
      <w:proofErr w:type="spellStart"/>
      <w:r w:rsidRPr="00965CBC">
        <w:rPr>
          <w:rFonts w:ascii="Open Sans" w:eastAsia="Times New Roman" w:hAnsi="Open Sans" w:cs="Open Sans"/>
          <w:color w:val="333333"/>
          <w:kern w:val="0"/>
          <w:sz w:val="21"/>
          <w:szCs w:val="21"/>
          <w:lang w:eastAsia="es-UY"/>
          <w14:ligatures w14:val="none"/>
        </w:rPr>
        <w:t>sint</w:t>
      </w:r>
      <w:proofErr w:type="spellEnd"/>
      <w:r w:rsidRPr="00965CBC">
        <w:rPr>
          <w:rFonts w:ascii="Open Sans" w:eastAsia="Times New Roman" w:hAnsi="Open Sans" w:cs="Open Sans"/>
          <w:color w:val="333333"/>
          <w:kern w:val="0"/>
          <w:sz w:val="21"/>
          <w:szCs w:val="21"/>
          <w:lang w:eastAsia="es-UY"/>
          <w14:ligatures w14:val="none"/>
        </w:rPr>
        <w:t xml:space="preserve">, y con la mirada puesta en el Sínodo de la </w:t>
      </w:r>
      <w:proofErr w:type="spellStart"/>
      <w:r w:rsidRPr="00965CBC">
        <w:rPr>
          <w:rFonts w:ascii="Open Sans" w:eastAsia="Times New Roman" w:hAnsi="Open Sans" w:cs="Open Sans"/>
          <w:color w:val="333333"/>
          <w:kern w:val="0"/>
          <w:sz w:val="21"/>
          <w:szCs w:val="21"/>
          <w:lang w:eastAsia="es-UY"/>
          <w14:ligatures w14:val="none"/>
        </w:rPr>
        <w:t>Sinodalidad</w:t>
      </w:r>
      <w:proofErr w:type="spellEnd"/>
      <w:r w:rsidRPr="00965CBC">
        <w:rPr>
          <w:rFonts w:ascii="Open Sans" w:eastAsia="Times New Roman" w:hAnsi="Open Sans" w:cs="Open Sans"/>
          <w:color w:val="333333"/>
          <w:kern w:val="0"/>
          <w:sz w:val="21"/>
          <w:szCs w:val="21"/>
          <w:lang w:eastAsia="es-UY"/>
          <w14:ligatures w14:val="none"/>
        </w:rPr>
        <w:t xml:space="preserve">, el Vaticano </w:t>
      </w:r>
      <w:proofErr w:type="spellStart"/>
      <w:r w:rsidRPr="00965CBC">
        <w:rPr>
          <w:rFonts w:ascii="Open Sans" w:eastAsia="Times New Roman" w:hAnsi="Open Sans" w:cs="Open Sans"/>
          <w:color w:val="333333"/>
          <w:kern w:val="0"/>
          <w:sz w:val="21"/>
          <w:szCs w:val="21"/>
          <w:lang w:eastAsia="es-UY"/>
          <w14:ligatures w14:val="none"/>
        </w:rPr>
        <w:t>propne</w:t>
      </w:r>
      <w:proofErr w:type="spellEnd"/>
      <w:r w:rsidRPr="00965CBC">
        <w:rPr>
          <w:rFonts w:ascii="Open Sans" w:eastAsia="Times New Roman" w:hAnsi="Open Sans" w:cs="Open Sans"/>
          <w:color w:val="333333"/>
          <w:kern w:val="0"/>
          <w:sz w:val="21"/>
          <w:szCs w:val="21"/>
          <w:lang w:eastAsia="es-UY"/>
          <w14:ligatures w14:val="none"/>
        </w:rPr>
        <w:t xml:space="preserve"> esta reflexión como "una </w:t>
      </w:r>
      <w:r w:rsidRPr="00965CBC">
        <w:rPr>
          <w:rFonts w:ascii="Open Sans" w:eastAsia="Times New Roman" w:hAnsi="Open Sans" w:cs="Open Sans"/>
          <w:b/>
          <w:bCs/>
          <w:color w:val="474747"/>
          <w:kern w:val="0"/>
          <w:sz w:val="21"/>
          <w:szCs w:val="21"/>
          <w:lang w:eastAsia="es-UY"/>
          <w14:ligatures w14:val="none"/>
        </w:rPr>
        <w:t>contribución a la dimensión  ecuménica del proceso sinodal". Se trata, y así se aclara desde el principio, de un "documento de estudio", que ve la luz tras tres años de trabajo en el que se tuvieron en cuenta decenas de contribuciones de expertos católicos, ortodoxos y protestantes. </w:t>
      </w:r>
    </w:p>
    <w:p w14:paraId="7378EEE3" w14:textId="77777777" w:rsidR="00965CBC" w:rsidRPr="00965CBC" w:rsidRDefault="00965CBC" w:rsidP="00965CB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65CBC">
        <w:rPr>
          <w:rFonts w:ascii="Open Sans" w:eastAsia="Times New Roman" w:hAnsi="Open Sans" w:cs="Open Sans"/>
          <w:color w:val="333333"/>
          <w:kern w:val="0"/>
          <w:sz w:val="21"/>
          <w:szCs w:val="21"/>
          <w:lang w:eastAsia="es-UY"/>
          <w14:ligatures w14:val="none"/>
        </w:rPr>
        <w:t>En el mismo, se hace un repaso a las principales cuestiones teológicas que tradicionalmente han cuestionado el primado papal y las "perspectivas para un </w:t>
      </w:r>
      <w:r w:rsidRPr="00965CBC">
        <w:rPr>
          <w:rFonts w:ascii="Open Sans" w:eastAsia="Times New Roman" w:hAnsi="Open Sans" w:cs="Open Sans"/>
          <w:b/>
          <w:bCs/>
          <w:color w:val="474747"/>
          <w:kern w:val="0"/>
          <w:sz w:val="21"/>
          <w:szCs w:val="21"/>
          <w:lang w:eastAsia="es-UY"/>
          <w14:ligatures w14:val="none"/>
        </w:rPr>
        <w:t>ministerio de la unidad en una Iglesia reunificada", entre las que se encuentran la necesidad o no de un primado en la Iglesia; criterios del primer milenio; principios para el ejercicio  del primado en el siglo XXI.</w:t>
      </w:r>
    </w:p>
    <w:p w14:paraId="68FA9EC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012A5"/>
    <w:multiLevelType w:val="multilevel"/>
    <w:tmpl w:val="D63C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BC"/>
    <w:rsid w:val="00263768"/>
    <w:rsid w:val="00926044"/>
    <w:rsid w:val="00965CB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CC3F"/>
  <w15:chartTrackingRefBased/>
  <w15:docId w15:val="{B2EC57E3-7C9E-4E69-AC92-1AFB059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5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5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5C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5C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5C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5C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5C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5C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5C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C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5C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5C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5C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5C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5C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5C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5C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5CBC"/>
    <w:rPr>
      <w:rFonts w:eastAsiaTheme="majorEastAsia" w:cstheme="majorBidi"/>
      <w:color w:val="272727" w:themeColor="text1" w:themeTint="D8"/>
    </w:rPr>
  </w:style>
  <w:style w:type="paragraph" w:styleId="Ttulo">
    <w:name w:val="Title"/>
    <w:basedOn w:val="Normal"/>
    <w:next w:val="Normal"/>
    <w:link w:val="TtuloCar"/>
    <w:uiPriority w:val="10"/>
    <w:qFormat/>
    <w:rsid w:val="00965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5C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5C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5C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5CBC"/>
    <w:pPr>
      <w:spacing w:before="160"/>
      <w:jc w:val="center"/>
    </w:pPr>
    <w:rPr>
      <w:i/>
      <w:iCs/>
      <w:color w:val="404040" w:themeColor="text1" w:themeTint="BF"/>
    </w:rPr>
  </w:style>
  <w:style w:type="character" w:customStyle="1" w:styleId="CitaCar">
    <w:name w:val="Cita Car"/>
    <w:basedOn w:val="Fuentedeprrafopredeter"/>
    <w:link w:val="Cita"/>
    <w:uiPriority w:val="29"/>
    <w:rsid w:val="00965CBC"/>
    <w:rPr>
      <w:i/>
      <w:iCs/>
      <w:color w:val="404040" w:themeColor="text1" w:themeTint="BF"/>
    </w:rPr>
  </w:style>
  <w:style w:type="paragraph" w:styleId="Prrafodelista">
    <w:name w:val="List Paragraph"/>
    <w:basedOn w:val="Normal"/>
    <w:uiPriority w:val="34"/>
    <w:qFormat/>
    <w:rsid w:val="00965CBC"/>
    <w:pPr>
      <w:ind w:left="720"/>
      <w:contextualSpacing/>
    </w:pPr>
  </w:style>
  <w:style w:type="character" w:styleId="nfasisintenso">
    <w:name w:val="Intense Emphasis"/>
    <w:basedOn w:val="Fuentedeprrafopredeter"/>
    <w:uiPriority w:val="21"/>
    <w:qFormat/>
    <w:rsid w:val="00965CBC"/>
    <w:rPr>
      <w:i/>
      <w:iCs/>
      <w:color w:val="0F4761" w:themeColor="accent1" w:themeShade="BF"/>
    </w:rPr>
  </w:style>
  <w:style w:type="paragraph" w:styleId="Citadestacada">
    <w:name w:val="Intense Quote"/>
    <w:basedOn w:val="Normal"/>
    <w:next w:val="Normal"/>
    <w:link w:val="CitadestacadaCar"/>
    <w:uiPriority w:val="30"/>
    <w:qFormat/>
    <w:rsid w:val="00965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5CBC"/>
    <w:rPr>
      <w:i/>
      <w:iCs/>
      <w:color w:val="0F4761" w:themeColor="accent1" w:themeShade="BF"/>
    </w:rPr>
  </w:style>
  <w:style w:type="character" w:styleId="Referenciaintensa">
    <w:name w:val="Intense Reference"/>
    <w:basedOn w:val="Fuentedeprrafopredeter"/>
    <w:uiPriority w:val="32"/>
    <w:qFormat/>
    <w:rsid w:val="00965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65300">
      <w:bodyDiv w:val="1"/>
      <w:marLeft w:val="0"/>
      <w:marRight w:val="0"/>
      <w:marTop w:val="0"/>
      <w:marBottom w:val="0"/>
      <w:divBdr>
        <w:top w:val="none" w:sz="0" w:space="0" w:color="auto"/>
        <w:left w:val="none" w:sz="0" w:space="0" w:color="auto"/>
        <w:bottom w:val="none" w:sz="0" w:space="0" w:color="auto"/>
        <w:right w:val="none" w:sz="0" w:space="0" w:color="auto"/>
      </w:divBdr>
      <w:divsChild>
        <w:div w:id="1952664430">
          <w:marLeft w:val="0"/>
          <w:marRight w:val="0"/>
          <w:marTop w:val="0"/>
          <w:marBottom w:val="0"/>
          <w:divBdr>
            <w:top w:val="none" w:sz="0" w:space="0" w:color="auto"/>
            <w:left w:val="none" w:sz="0" w:space="0" w:color="auto"/>
            <w:bottom w:val="none" w:sz="0" w:space="0" w:color="auto"/>
            <w:right w:val="none" w:sz="0" w:space="0" w:color="auto"/>
          </w:divBdr>
          <w:divsChild>
            <w:div w:id="1480996057">
              <w:marLeft w:val="0"/>
              <w:marRight w:val="0"/>
              <w:marTop w:val="0"/>
              <w:marBottom w:val="600"/>
              <w:divBdr>
                <w:top w:val="none" w:sz="0" w:space="0" w:color="auto"/>
                <w:left w:val="none" w:sz="0" w:space="0" w:color="auto"/>
                <w:bottom w:val="none" w:sz="0" w:space="0" w:color="auto"/>
                <w:right w:val="none" w:sz="0" w:space="0" w:color="auto"/>
              </w:divBdr>
              <w:divsChild>
                <w:div w:id="14073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6293">
          <w:marLeft w:val="0"/>
          <w:marRight w:val="0"/>
          <w:marTop w:val="0"/>
          <w:marBottom w:val="0"/>
          <w:divBdr>
            <w:top w:val="none" w:sz="0" w:space="0" w:color="auto"/>
            <w:left w:val="none" w:sz="0" w:space="0" w:color="auto"/>
            <w:bottom w:val="none" w:sz="0" w:space="0" w:color="auto"/>
            <w:right w:val="none" w:sz="0" w:space="0" w:color="auto"/>
          </w:divBdr>
          <w:divsChild>
            <w:div w:id="4598821">
              <w:marLeft w:val="0"/>
              <w:marRight w:val="0"/>
              <w:marTop w:val="0"/>
              <w:marBottom w:val="0"/>
              <w:divBdr>
                <w:top w:val="none" w:sz="0" w:space="0" w:color="auto"/>
                <w:left w:val="none" w:sz="0" w:space="0" w:color="auto"/>
                <w:bottom w:val="none" w:sz="0" w:space="0" w:color="auto"/>
                <w:right w:val="none" w:sz="0" w:space="0" w:color="auto"/>
              </w:divBdr>
              <w:divsChild>
                <w:div w:id="2043169374">
                  <w:marLeft w:val="-1275"/>
                  <w:marRight w:val="0"/>
                  <w:marTop w:val="0"/>
                  <w:marBottom w:val="0"/>
                  <w:divBdr>
                    <w:top w:val="none" w:sz="0" w:space="0" w:color="auto"/>
                    <w:left w:val="none" w:sz="0" w:space="0" w:color="auto"/>
                    <w:bottom w:val="none" w:sz="0" w:space="0" w:color="auto"/>
                    <w:right w:val="none" w:sz="0" w:space="0" w:color="auto"/>
                  </w:divBdr>
                </w:div>
                <w:div w:id="479345878">
                  <w:marLeft w:val="0"/>
                  <w:marRight w:val="0"/>
                  <w:marTop w:val="0"/>
                  <w:marBottom w:val="0"/>
                  <w:divBdr>
                    <w:top w:val="none" w:sz="0" w:space="0" w:color="auto"/>
                    <w:left w:val="none" w:sz="0" w:space="0" w:color="auto"/>
                    <w:bottom w:val="none" w:sz="0" w:space="0" w:color="auto"/>
                    <w:right w:val="none" w:sz="0" w:space="0" w:color="auto"/>
                  </w:divBdr>
                  <w:divsChild>
                    <w:div w:id="301429663">
                      <w:marLeft w:val="0"/>
                      <w:marRight w:val="0"/>
                      <w:marTop w:val="0"/>
                      <w:marBottom w:val="0"/>
                      <w:divBdr>
                        <w:top w:val="none" w:sz="0" w:space="0" w:color="auto"/>
                        <w:left w:val="none" w:sz="0" w:space="0" w:color="auto"/>
                        <w:bottom w:val="none" w:sz="0" w:space="0" w:color="auto"/>
                        <w:right w:val="none" w:sz="0" w:space="0" w:color="auto"/>
                      </w:divBdr>
                    </w:div>
                    <w:div w:id="1266691182">
                      <w:marLeft w:val="0"/>
                      <w:marRight w:val="0"/>
                      <w:marTop w:val="0"/>
                      <w:marBottom w:val="0"/>
                      <w:divBdr>
                        <w:top w:val="none" w:sz="0" w:space="0" w:color="auto"/>
                        <w:left w:val="none" w:sz="0" w:space="0" w:color="auto"/>
                        <w:bottom w:val="none" w:sz="0" w:space="0" w:color="auto"/>
                        <w:right w:val="none" w:sz="0" w:space="0" w:color="auto"/>
                      </w:divBdr>
                      <w:divsChild>
                        <w:div w:id="1375735060">
                          <w:marLeft w:val="0"/>
                          <w:marRight w:val="0"/>
                          <w:marTop w:val="0"/>
                          <w:marBottom w:val="0"/>
                          <w:divBdr>
                            <w:top w:val="single" w:sz="36" w:space="4" w:color="64869A"/>
                            <w:left w:val="single" w:sz="36" w:space="0" w:color="64869A"/>
                            <w:bottom w:val="single" w:sz="36" w:space="4" w:color="64869A"/>
                            <w:right w:val="single" w:sz="36" w:space="0" w:color="64869A"/>
                          </w:divBdr>
                        </w:div>
                        <w:div w:id="934485030">
                          <w:marLeft w:val="0"/>
                          <w:marRight w:val="0"/>
                          <w:marTop w:val="0"/>
                          <w:marBottom w:val="0"/>
                          <w:divBdr>
                            <w:top w:val="single" w:sz="36" w:space="4" w:color="64869A"/>
                            <w:left w:val="single" w:sz="36" w:space="0" w:color="64869A"/>
                            <w:bottom w:val="single" w:sz="36" w:space="4" w:color="64869A"/>
                            <w:right w:val="single" w:sz="36" w:space="0" w:color="64869A"/>
                          </w:divBdr>
                        </w:div>
                        <w:div w:id="1863084813">
                          <w:marLeft w:val="0"/>
                          <w:marRight w:val="0"/>
                          <w:marTop w:val="0"/>
                          <w:marBottom w:val="450"/>
                          <w:divBdr>
                            <w:top w:val="none" w:sz="0" w:space="0" w:color="auto"/>
                            <w:left w:val="none" w:sz="0" w:space="0" w:color="auto"/>
                            <w:bottom w:val="none" w:sz="0" w:space="0" w:color="auto"/>
                            <w:right w:val="none" w:sz="0" w:space="0" w:color="auto"/>
                          </w:divBdr>
                          <w:divsChild>
                            <w:div w:id="1691029168">
                              <w:marLeft w:val="0"/>
                              <w:marRight w:val="0"/>
                              <w:marTop w:val="0"/>
                              <w:marBottom w:val="0"/>
                              <w:divBdr>
                                <w:top w:val="none" w:sz="0" w:space="0" w:color="auto"/>
                                <w:left w:val="none" w:sz="0" w:space="0" w:color="auto"/>
                                <w:bottom w:val="none" w:sz="0" w:space="0" w:color="auto"/>
                                <w:right w:val="none" w:sz="0" w:space="0" w:color="auto"/>
                              </w:divBdr>
                            </w:div>
                          </w:divsChild>
                        </w:div>
                        <w:div w:id="1151292409">
                          <w:marLeft w:val="0"/>
                          <w:marRight w:val="0"/>
                          <w:marTop w:val="0"/>
                          <w:marBottom w:val="450"/>
                          <w:divBdr>
                            <w:top w:val="none" w:sz="0" w:space="0" w:color="auto"/>
                            <w:left w:val="none" w:sz="0" w:space="0" w:color="auto"/>
                            <w:bottom w:val="none" w:sz="0" w:space="0" w:color="auto"/>
                            <w:right w:val="none" w:sz="0" w:space="0" w:color="auto"/>
                          </w:divBdr>
                          <w:divsChild>
                            <w:div w:id="2129084499">
                              <w:marLeft w:val="0"/>
                              <w:marRight w:val="0"/>
                              <w:marTop w:val="0"/>
                              <w:marBottom w:val="0"/>
                              <w:divBdr>
                                <w:top w:val="none" w:sz="0" w:space="0" w:color="auto"/>
                                <w:left w:val="none" w:sz="0" w:space="0" w:color="auto"/>
                                <w:bottom w:val="none" w:sz="0" w:space="0" w:color="auto"/>
                                <w:right w:val="none" w:sz="0" w:space="0" w:color="auto"/>
                              </w:divBdr>
                            </w:div>
                          </w:divsChild>
                        </w:div>
                        <w:div w:id="441267011">
                          <w:blockQuote w:val="1"/>
                          <w:marLeft w:val="0"/>
                          <w:marRight w:val="0"/>
                          <w:marTop w:val="0"/>
                          <w:marBottom w:val="300"/>
                          <w:divBdr>
                            <w:top w:val="none" w:sz="0" w:space="0" w:color="auto"/>
                            <w:left w:val="none" w:sz="0" w:space="0" w:color="auto"/>
                            <w:bottom w:val="none" w:sz="0" w:space="0" w:color="auto"/>
                            <w:right w:val="none" w:sz="0" w:space="0" w:color="auto"/>
                          </w:divBdr>
                        </w:div>
                        <w:div w:id="1118187088">
                          <w:marLeft w:val="0"/>
                          <w:marRight w:val="0"/>
                          <w:marTop w:val="0"/>
                          <w:marBottom w:val="450"/>
                          <w:divBdr>
                            <w:top w:val="none" w:sz="0" w:space="0" w:color="auto"/>
                            <w:left w:val="none" w:sz="0" w:space="0" w:color="auto"/>
                            <w:bottom w:val="none" w:sz="0" w:space="0" w:color="auto"/>
                            <w:right w:val="none" w:sz="0" w:space="0" w:color="auto"/>
                          </w:divBdr>
                          <w:divsChild>
                            <w:div w:id="893853987">
                              <w:marLeft w:val="0"/>
                              <w:marRight w:val="0"/>
                              <w:marTop w:val="0"/>
                              <w:marBottom w:val="0"/>
                              <w:divBdr>
                                <w:top w:val="none" w:sz="0" w:space="0" w:color="auto"/>
                                <w:left w:val="none" w:sz="0" w:space="0" w:color="auto"/>
                                <w:bottom w:val="none" w:sz="0" w:space="0" w:color="auto"/>
                                <w:right w:val="none" w:sz="0" w:space="0" w:color="auto"/>
                              </w:divBdr>
                            </w:div>
                          </w:divsChild>
                        </w:div>
                        <w:div w:id="575436359">
                          <w:marLeft w:val="0"/>
                          <w:marRight w:val="0"/>
                          <w:marTop w:val="0"/>
                          <w:marBottom w:val="450"/>
                          <w:divBdr>
                            <w:top w:val="none" w:sz="0" w:space="0" w:color="auto"/>
                            <w:left w:val="none" w:sz="0" w:space="0" w:color="auto"/>
                            <w:bottom w:val="none" w:sz="0" w:space="0" w:color="auto"/>
                            <w:right w:val="none" w:sz="0" w:space="0" w:color="auto"/>
                          </w:divBdr>
                          <w:divsChild>
                            <w:div w:id="1102142818">
                              <w:marLeft w:val="0"/>
                              <w:marRight w:val="0"/>
                              <w:marTop w:val="0"/>
                              <w:marBottom w:val="0"/>
                              <w:divBdr>
                                <w:top w:val="none" w:sz="0" w:space="0" w:color="auto"/>
                                <w:left w:val="none" w:sz="0" w:space="0" w:color="auto"/>
                                <w:bottom w:val="none" w:sz="0" w:space="0" w:color="auto"/>
                                <w:right w:val="none" w:sz="0" w:space="0" w:color="auto"/>
                              </w:divBdr>
                            </w:div>
                          </w:divsChild>
                        </w:div>
                        <w:div w:id="670448176">
                          <w:marLeft w:val="0"/>
                          <w:marRight w:val="0"/>
                          <w:marTop w:val="0"/>
                          <w:marBottom w:val="450"/>
                          <w:divBdr>
                            <w:top w:val="none" w:sz="0" w:space="0" w:color="auto"/>
                            <w:left w:val="none" w:sz="0" w:space="0" w:color="auto"/>
                            <w:bottom w:val="none" w:sz="0" w:space="0" w:color="auto"/>
                            <w:right w:val="none" w:sz="0" w:space="0" w:color="auto"/>
                          </w:divBdr>
                          <w:divsChild>
                            <w:div w:id="9819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tras-confesiones/Documentos-RD-Dicasterio-Promocion-Cristianos_0_2678432159.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otras-confesiones/Documentos-RD-Dicasterio-Promocion-Cristianos_0_2678432159.html"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7456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2024-06-19T15:53:00Z</dcterms:created>
  <dcterms:modified xsi:type="dcterms:W3CDTF">2024-06-19T15:54:00Z</dcterms:modified>
</cp:coreProperties>
</file>