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5A9B4" w14:textId="636D69F1" w:rsidR="002429A7" w:rsidRDefault="002429A7" w:rsidP="002429A7">
      <w:pPr>
        <w:spacing w:after="0" w:line="240" w:lineRule="auto"/>
        <w:jc w:val="center"/>
        <w:outlineLvl w:val="1"/>
        <w:rPr>
          <w:rFonts w:ascii="Tahoma" w:eastAsia="Times New Roman" w:hAnsi="Tahoma" w:cs="Tahoma"/>
          <w:b/>
          <w:bCs/>
          <w:color w:val="483D34"/>
          <w:kern w:val="0"/>
          <w:sz w:val="36"/>
          <w:szCs w:val="36"/>
          <w:lang w:eastAsia="es-UY"/>
          <w14:ligatures w14:val="none"/>
        </w:rPr>
      </w:pPr>
      <w:r w:rsidRPr="002429A7">
        <w:rPr>
          <w:rFonts w:ascii="Tahoma" w:eastAsia="Times New Roman" w:hAnsi="Tahoma" w:cs="Tahoma"/>
          <w:b/>
          <w:bCs/>
          <w:color w:val="483D34"/>
          <w:kern w:val="0"/>
          <w:sz w:val="36"/>
          <w:szCs w:val="36"/>
          <w:lang w:eastAsia="es-UY"/>
          <w14:ligatures w14:val="none"/>
        </w:rPr>
        <w:t>F</w:t>
      </w:r>
      <w:r w:rsidRPr="002429A7">
        <w:rPr>
          <w:rFonts w:ascii="Tahoma" w:eastAsia="Times New Roman" w:hAnsi="Tahoma" w:cs="Tahoma"/>
          <w:b/>
          <w:bCs/>
          <w:color w:val="483D34"/>
          <w:kern w:val="0"/>
          <w:sz w:val="36"/>
          <w:szCs w:val="36"/>
          <w:lang w:eastAsia="es-UY"/>
          <w14:ligatures w14:val="none"/>
        </w:rPr>
        <w:t>RANCISCO: "LA SINODALIDAD NO ES UNA MODA ORGANIZACIONAL"</w:t>
      </w:r>
    </w:p>
    <w:p w14:paraId="66745B53" w14:textId="77777777" w:rsidR="002429A7" w:rsidRPr="002429A7" w:rsidRDefault="002429A7" w:rsidP="002429A7">
      <w:pPr>
        <w:spacing w:after="0" w:line="240" w:lineRule="auto"/>
        <w:jc w:val="center"/>
        <w:outlineLvl w:val="1"/>
        <w:rPr>
          <w:rFonts w:ascii="Tahoma" w:eastAsia="Times New Roman" w:hAnsi="Tahoma" w:cs="Tahoma"/>
          <w:b/>
          <w:bCs/>
          <w:color w:val="483D34"/>
          <w:kern w:val="0"/>
          <w:sz w:val="36"/>
          <w:szCs w:val="36"/>
          <w:lang w:eastAsia="es-UY"/>
          <w14:ligatures w14:val="none"/>
        </w:rPr>
      </w:pPr>
    </w:p>
    <w:p w14:paraId="2F3C2174" w14:textId="77777777" w:rsidR="002429A7" w:rsidRDefault="002429A7" w:rsidP="002429A7">
      <w:pPr>
        <w:spacing w:after="0" w:line="240" w:lineRule="auto"/>
        <w:jc w:val="both"/>
        <w:rPr>
          <w:rFonts w:ascii="Tahoma" w:eastAsia="Times New Roman" w:hAnsi="Tahoma" w:cs="Tahoma"/>
          <w:color w:val="483D34"/>
          <w:kern w:val="0"/>
          <w:sz w:val="23"/>
          <w:szCs w:val="23"/>
          <w:lang w:eastAsia="es-UY"/>
          <w14:ligatures w14:val="none"/>
        </w:rPr>
      </w:pPr>
      <w:hyperlink r:id="rId5" w:history="1">
        <w:r w:rsidRPr="002429A7">
          <w:rPr>
            <w:rFonts w:ascii="Tahoma" w:eastAsia="Times New Roman" w:hAnsi="Tahoma" w:cs="Tahoma"/>
            <w:b/>
            <w:bCs/>
            <w:color w:val="483D34"/>
            <w:kern w:val="0"/>
            <w:sz w:val="23"/>
            <w:szCs w:val="23"/>
            <w:u w:val="single"/>
            <w:lang w:eastAsia="es-UY"/>
            <w14:ligatures w14:val="none"/>
          </w:rPr>
          <w:t>Paola Calderón</w:t>
        </w:r>
      </w:hyperlink>
    </w:p>
    <w:p w14:paraId="75663B81" w14:textId="77777777" w:rsidR="002429A7" w:rsidRDefault="002429A7" w:rsidP="002429A7">
      <w:pPr>
        <w:spacing w:after="0" w:line="240" w:lineRule="auto"/>
        <w:jc w:val="both"/>
        <w:rPr>
          <w:rFonts w:ascii="Tahoma" w:eastAsia="Times New Roman" w:hAnsi="Tahoma" w:cs="Tahoma"/>
          <w:color w:val="483D34"/>
          <w:kern w:val="0"/>
          <w:sz w:val="23"/>
          <w:szCs w:val="23"/>
          <w:lang w:eastAsia="es-UY"/>
          <w14:ligatures w14:val="none"/>
        </w:rPr>
      </w:pPr>
    </w:p>
    <w:p w14:paraId="6E1A33AD" w14:textId="77777777" w:rsidR="002429A7" w:rsidRPr="002429A7" w:rsidRDefault="002429A7" w:rsidP="002429A7">
      <w:pPr>
        <w:spacing w:after="0" w:line="240" w:lineRule="auto"/>
        <w:jc w:val="both"/>
        <w:rPr>
          <w:rFonts w:ascii="Tahoma" w:eastAsia="Times New Roman" w:hAnsi="Tahoma" w:cs="Tahoma"/>
          <w:color w:val="483D34"/>
          <w:kern w:val="0"/>
          <w:sz w:val="23"/>
          <w:szCs w:val="23"/>
          <w:lang w:eastAsia="es-UY"/>
          <w14:ligatures w14:val="none"/>
        </w:rPr>
      </w:pPr>
    </w:p>
    <w:p w14:paraId="28734278"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 xml:space="preserve">"La </w:t>
      </w:r>
      <w:proofErr w:type="spellStart"/>
      <w:r w:rsidRPr="002429A7">
        <w:rPr>
          <w:rFonts w:ascii="Tahoma" w:eastAsia="Times New Roman" w:hAnsi="Tahoma" w:cs="Tahoma"/>
          <w:color w:val="483D34"/>
          <w:kern w:val="0"/>
          <w:sz w:val="24"/>
          <w:szCs w:val="24"/>
          <w:lang w:eastAsia="es-UY"/>
          <w14:ligatures w14:val="none"/>
        </w:rPr>
        <w:t>sinodalidad</w:t>
      </w:r>
      <w:proofErr w:type="spellEnd"/>
      <w:r w:rsidRPr="002429A7">
        <w:rPr>
          <w:rFonts w:ascii="Tahoma" w:eastAsia="Times New Roman" w:hAnsi="Tahoma" w:cs="Tahoma"/>
          <w:color w:val="483D34"/>
          <w:kern w:val="0"/>
          <w:sz w:val="24"/>
          <w:szCs w:val="24"/>
          <w:lang w:eastAsia="es-UY"/>
          <w14:ligatures w14:val="none"/>
        </w:rPr>
        <w:t xml:space="preserve"> no es una moda organizacional o un proyecto de reinvención humana del pueblo de Dios". Así comienza el prefacio que escribe el Papa Francisco para explicar a los lectores los objetivos y pertinencia de la colección titulada </w:t>
      </w:r>
      <w:r w:rsidRPr="002429A7">
        <w:rPr>
          <w:rFonts w:ascii="Tahoma" w:eastAsia="Times New Roman" w:hAnsi="Tahoma" w:cs="Tahoma"/>
          <w:b/>
          <w:bCs/>
          <w:color w:val="483D34"/>
          <w:kern w:val="0"/>
          <w:sz w:val="24"/>
          <w:szCs w:val="24"/>
          <w:lang w:eastAsia="es-UY"/>
          <w14:ligatures w14:val="none"/>
        </w:rPr>
        <w:t xml:space="preserve">Cuadernillos de </w:t>
      </w:r>
      <w:proofErr w:type="spellStart"/>
      <w:r w:rsidRPr="002429A7">
        <w:rPr>
          <w:rFonts w:ascii="Tahoma" w:eastAsia="Times New Roman" w:hAnsi="Tahoma" w:cs="Tahoma"/>
          <w:b/>
          <w:bCs/>
          <w:color w:val="483D34"/>
          <w:kern w:val="0"/>
          <w:sz w:val="24"/>
          <w:szCs w:val="24"/>
          <w:lang w:eastAsia="es-UY"/>
          <w14:ligatures w14:val="none"/>
        </w:rPr>
        <w:t>sinodalidad</w:t>
      </w:r>
      <w:proofErr w:type="spellEnd"/>
      <w:r w:rsidRPr="002429A7">
        <w:rPr>
          <w:rFonts w:ascii="Tahoma" w:eastAsia="Times New Roman" w:hAnsi="Tahoma" w:cs="Tahoma"/>
          <w:b/>
          <w:bCs/>
          <w:color w:val="483D34"/>
          <w:kern w:val="0"/>
          <w:sz w:val="24"/>
          <w:szCs w:val="24"/>
          <w:lang w:eastAsia="es-UY"/>
          <w14:ligatures w14:val="none"/>
        </w:rPr>
        <w:t xml:space="preserve"> "En camino hacia una Iglesia constitutivamente sinodal".</w:t>
      </w:r>
    </w:p>
    <w:p w14:paraId="68C9AB2A"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Una obra de </w:t>
      </w:r>
      <w:r w:rsidRPr="002429A7">
        <w:rPr>
          <w:rFonts w:ascii="Tahoma" w:eastAsia="Times New Roman" w:hAnsi="Tahoma" w:cs="Tahoma"/>
          <w:b/>
          <w:bCs/>
          <w:color w:val="483D34"/>
          <w:kern w:val="0"/>
          <w:sz w:val="24"/>
          <w:szCs w:val="24"/>
          <w:lang w:eastAsia="es-UY"/>
          <w14:ligatures w14:val="none"/>
        </w:rPr>
        <w:t xml:space="preserve">25 volúmenes escrita por los teólogos Rafael </w:t>
      </w:r>
      <w:proofErr w:type="spellStart"/>
      <w:r w:rsidRPr="002429A7">
        <w:rPr>
          <w:rFonts w:ascii="Tahoma" w:eastAsia="Times New Roman" w:hAnsi="Tahoma" w:cs="Tahoma"/>
          <w:b/>
          <w:bCs/>
          <w:color w:val="483D34"/>
          <w:kern w:val="0"/>
          <w:sz w:val="24"/>
          <w:szCs w:val="24"/>
          <w:lang w:eastAsia="es-UY"/>
          <w14:ligatures w14:val="none"/>
        </w:rPr>
        <w:t>Luciani</w:t>
      </w:r>
      <w:proofErr w:type="spellEnd"/>
      <w:r w:rsidRPr="002429A7">
        <w:rPr>
          <w:rFonts w:ascii="Tahoma" w:eastAsia="Times New Roman" w:hAnsi="Tahoma" w:cs="Tahoma"/>
          <w:b/>
          <w:bCs/>
          <w:color w:val="483D34"/>
          <w:kern w:val="0"/>
          <w:sz w:val="24"/>
          <w:szCs w:val="24"/>
          <w:lang w:eastAsia="es-UY"/>
          <w14:ligatures w14:val="none"/>
        </w:rPr>
        <w:t xml:space="preserve"> y Serena </w:t>
      </w:r>
      <w:proofErr w:type="spellStart"/>
      <w:r w:rsidRPr="002429A7">
        <w:rPr>
          <w:rFonts w:ascii="Tahoma" w:eastAsia="Times New Roman" w:hAnsi="Tahoma" w:cs="Tahoma"/>
          <w:b/>
          <w:bCs/>
          <w:color w:val="483D34"/>
          <w:kern w:val="0"/>
          <w:sz w:val="24"/>
          <w:szCs w:val="24"/>
          <w:lang w:eastAsia="es-UY"/>
          <w14:ligatures w14:val="none"/>
        </w:rPr>
        <w:t>Noceti</w:t>
      </w:r>
      <w:proofErr w:type="spellEnd"/>
      <w:r w:rsidRPr="002429A7">
        <w:rPr>
          <w:rFonts w:ascii="Tahoma" w:eastAsia="Times New Roman" w:hAnsi="Tahoma" w:cs="Tahoma"/>
          <w:b/>
          <w:bCs/>
          <w:color w:val="483D34"/>
          <w:kern w:val="0"/>
          <w:sz w:val="24"/>
          <w:szCs w:val="24"/>
          <w:lang w:eastAsia="es-UY"/>
          <w14:ligatures w14:val="none"/>
        </w:rPr>
        <w:t> </w:t>
      </w:r>
      <w:r w:rsidRPr="002429A7">
        <w:rPr>
          <w:rFonts w:ascii="Tahoma" w:eastAsia="Times New Roman" w:hAnsi="Tahoma" w:cs="Tahoma"/>
          <w:color w:val="483D34"/>
          <w:kern w:val="0"/>
          <w:sz w:val="24"/>
          <w:szCs w:val="24"/>
          <w:lang w:eastAsia="es-UY"/>
          <w14:ligatures w14:val="none"/>
        </w:rPr>
        <w:t>que con el sello de las editoriales </w:t>
      </w:r>
      <w:proofErr w:type="spellStart"/>
      <w:r w:rsidRPr="002429A7">
        <w:rPr>
          <w:rFonts w:ascii="Tahoma" w:eastAsia="Times New Roman" w:hAnsi="Tahoma" w:cs="Tahoma"/>
          <w:b/>
          <w:bCs/>
          <w:color w:val="483D34"/>
          <w:kern w:val="0"/>
          <w:sz w:val="24"/>
          <w:szCs w:val="24"/>
          <w:lang w:eastAsia="es-UY"/>
          <w14:ligatures w14:val="none"/>
        </w:rPr>
        <w:t>Celam</w:t>
      </w:r>
      <w:proofErr w:type="spellEnd"/>
      <w:r w:rsidRPr="002429A7">
        <w:rPr>
          <w:rFonts w:ascii="Tahoma" w:eastAsia="Times New Roman" w:hAnsi="Tahoma" w:cs="Tahoma"/>
          <w:b/>
          <w:bCs/>
          <w:color w:val="483D34"/>
          <w:kern w:val="0"/>
          <w:sz w:val="24"/>
          <w:szCs w:val="24"/>
          <w:lang w:eastAsia="es-UY"/>
          <w14:ligatures w14:val="none"/>
        </w:rPr>
        <w:t xml:space="preserve">, Claretiana y </w:t>
      </w:r>
      <w:proofErr w:type="spellStart"/>
      <w:r w:rsidRPr="002429A7">
        <w:rPr>
          <w:rFonts w:ascii="Tahoma" w:eastAsia="Times New Roman" w:hAnsi="Tahoma" w:cs="Tahoma"/>
          <w:b/>
          <w:bCs/>
          <w:color w:val="483D34"/>
          <w:kern w:val="0"/>
          <w:sz w:val="24"/>
          <w:szCs w:val="24"/>
          <w:lang w:eastAsia="es-UY"/>
          <w14:ligatures w14:val="none"/>
        </w:rPr>
        <w:t>Queriniana</w:t>
      </w:r>
      <w:proofErr w:type="spellEnd"/>
      <w:r w:rsidRPr="002429A7">
        <w:rPr>
          <w:rFonts w:ascii="Tahoma" w:eastAsia="Times New Roman" w:hAnsi="Tahoma" w:cs="Tahoma"/>
          <w:color w:val="483D34"/>
          <w:kern w:val="0"/>
          <w:sz w:val="24"/>
          <w:szCs w:val="24"/>
          <w:lang w:eastAsia="es-UY"/>
          <w14:ligatures w14:val="none"/>
        </w:rPr>
        <w:t xml:space="preserve">, aporta desde la investigación, la elaboración conceptual, la recopilación de experiencias y el análisis de las estructuras eclesiales a la comprensión de un anhelo que el Papa define en este prefacio cuando habla de </w:t>
      </w:r>
      <w:proofErr w:type="spellStart"/>
      <w:r w:rsidRPr="002429A7">
        <w:rPr>
          <w:rFonts w:ascii="Tahoma" w:eastAsia="Times New Roman" w:hAnsi="Tahoma" w:cs="Tahoma"/>
          <w:color w:val="483D34"/>
          <w:kern w:val="0"/>
          <w:sz w:val="24"/>
          <w:szCs w:val="24"/>
          <w:lang w:eastAsia="es-UY"/>
          <w14:ligatures w14:val="none"/>
        </w:rPr>
        <w:t>sinodalidad</w:t>
      </w:r>
      <w:proofErr w:type="spellEnd"/>
      <w:r w:rsidRPr="002429A7">
        <w:rPr>
          <w:rFonts w:ascii="Tahoma" w:eastAsia="Times New Roman" w:hAnsi="Tahoma" w:cs="Tahoma"/>
          <w:color w:val="483D34"/>
          <w:kern w:val="0"/>
          <w:sz w:val="24"/>
          <w:szCs w:val="24"/>
          <w:lang w:eastAsia="es-UY"/>
          <w14:ligatures w14:val="none"/>
        </w:rPr>
        <w:t>.</w:t>
      </w:r>
    </w:p>
    <w:p w14:paraId="1BB86598"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b/>
          <w:bCs/>
          <w:color w:val="483D34"/>
          <w:kern w:val="0"/>
          <w:sz w:val="24"/>
          <w:szCs w:val="24"/>
          <w:lang w:eastAsia="es-UY"/>
          <w14:ligatures w14:val="none"/>
        </w:rPr>
        <w:t>Un llamado</w:t>
      </w:r>
    </w:p>
    <w:p w14:paraId="0C1E2AF3"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b/>
          <w:bCs/>
          <w:color w:val="483D34"/>
          <w:kern w:val="0"/>
          <w:sz w:val="24"/>
          <w:szCs w:val="24"/>
          <w:lang w:eastAsia="es-UY"/>
          <w14:ligatures w14:val="none"/>
        </w:rPr>
        <w:t>"Una realidad constitutiva que define el ser y el operar de toda la Iglesia,</w:t>
      </w:r>
      <w:r w:rsidRPr="002429A7">
        <w:rPr>
          <w:rFonts w:ascii="Tahoma" w:eastAsia="Times New Roman" w:hAnsi="Tahoma" w:cs="Tahoma"/>
          <w:color w:val="483D34"/>
          <w:kern w:val="0"/>
          <w:sz w:val="24"/>
          <w:szCs w:val="24"/>
          <w:lang w:eastAsia="es-UY"/>
          <w14:ligatures w14:val="none"/>
        </w:rPr>
        <w:t> un llamado a caminar juntos como Pueblo de Dios, bajo el impulso del Espíritu que nos invita a desbordarnos como Iglesia en salida, misionera y en permanente reforma".</w:t>
      </w:r>
    </w:p>
    <w:p w14:paraId="7C625EA0"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Concepto que respalda </w:t>
      </w:r>
      <w:r w:rsidRPr="002429A7">
        <w:rPr>
          <w:rFonts w:ascii="Tahoma" w:eastAsia="Times New Roman" w:hAnsi="Tahoma" w:cs="Tahoma"/>
          <w:b/>
          <w:bCs/>
          <w:color w:val="483D34"/>
          <w:kern w:val="0"/>
          <w:sz w:val="24"/>
          <w:szCs w:val="24"/>
          <w:lang w:eastAsia="es-UY"/>
          <w14:ligatures w14:val="none"/>
        </w:rPr>
        <w:t>el deseo manifiesto de los autores de contribuir a un pontificado desde el principio</w:t>
      </w:r>
      <w:r w:rsidRPr="002429A7">
        <w:rPr>
          <w:rFonts w:ascii="Tahoma" w:eastAsia="Times New Roman" w:hAnsi="Tahoma" w:cs="Tahoma"/>
          <w:color w:val="483D34"/>
          <w:kern w:val="0"/>
          <w:sz w:val="24"/>
          <w:szCs w:val="24"/>
          <w:lang w:eastAsia="es-UY"/>
          <w14:ligatures w14:val="none"/>
        </w:rPr>
        <w:t> y para quienes este prefacio es un regalo que está más allá de las palabras que una personalidad escribe para introducir el tema de un libro, abordar las intenciones de los autores o sembrar la curiosidad en los lectores antes de iniciar con el contenido de una publicación.</w:t>
      </w:r>
    </w:p>
    <w:p w14:paraId="64D522B9"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En este caso, se trata de "la visión que él tiene y que ve en estos cuadernillos que se puede llevar a cabo de forma pastoral y práctica...</w:t>
      </w:r>
      <w:r w:rsidRPr="002429A7">
        <w:rPr>
          <w:rFonts w:ascii="Tahoma" w:eastAsia="Times New Roman" w:hAnsi="Tahoma" w:cs="Tahoma"/>
          <w:b/>
          <w:bCs/>
          <w:color w:val="483D34"/>
          <w:kern w:val="0"/>
          <w:sz w:val="24"/>
          <w:szCs w:val="24"/>
          <w:lang w:eastAsia="es-UY"/>
          <w14:ligatures w14:val="none"/>
        </w:rPr>
        <w:t>Es lo que en este momento estamos buscando con el Sínodo, es decir, el cómo</w:t>
      </w:r>
      <w:r w:rsidRPr="002429A7">
        <w:rPr>
          <w:rFonts w:ascii="Tahoma" w:eastAsia="Times New Roman" w:hAnsi="Tahoma" w:cs="Tahoma"/>
          <w:color w:val="483D34"/>
          <w:kern w:val="0"/>
          <w:sz w:val="24"/>
          <w:szCs w:val="24"/>
          <w:lang w:eastAsia="es-UY"/>
          <w14:ligatures w14:val="none"/>
        </w:rPr>
        <w:t xml:space="preserve"> y el Papa en este prefacio, nos ayuda a situarnos en lo que es la </w:t>
      </w:r>
      <w:proofErr w:type="spellStart"/>
      <w:r w:rsidRPr="002429A7">
        <w:rPr>
          <w:rFonts w:ascii="Tahoma" w:eastAsia="Times New Roman" w:hAnsi="Tahoma" w:cs="Tahoma"/>
          <w:color w:val="483D34"/>
          <w:kern w:val="0"/>
          <w:sz w:val="24"/>
          <w:szCs w:val="24"/>
          <w:lang w:eastAsia="es-UY"/>
          <w14:ligatures w14:val="none"/>
        </w:rPr>
        <w:t>sinodalidad</w:t>
      </w:r>
      <w:proofErr w:type="spellEnd"/>
      <w:r w:rsidRPr="002429A7">
        <w:rPr>
          <w:rFonts w:ascii="Tahoma" w:eastAsia="Times New Roman" w:hAnsi="Tahoma" w:cs="Tahoma"/>
          <w:color w:val="483D34"/>
          <w:kern w:val="0"/>
          <w:sz w:val="24"/>
          <w:szCs w:val="24"/>
          <w:lang w:eastAsia="es-UY"/>
          <w14:ligatures w14:val="none"/>
        </w:rPr>
        <w:t xml:space="preserve">", afirma Rafael </w:t>
      </w:r>
      <w:proofErr w:type="spellStart"/>
      <w:r w:rsidRPr="002429A7">
        <w:rPr>
          <w:rFonts w:ascii="Tahoma" w:eastAsia="Times New Roman" w:hAnsi="Tahoma" w:cs="Tahoma"/>
          <w:color w:val="483D34"/>
          <w:kern w:val="0"/>
          <w:sz w:val="24"/>
          <w:szCs w:val="24"/>
          <w:lang w:eastAsia="es-UY"/>
          <w14:ligatures w14:val="none"/>
        </w:rPr>
        <w:t>Luciani</w:t>
      </w:r>
      <w:proofErr w:type="spellEnd"/>
      <w:r w:rsidRPr="002429A7">
        <w:rPr>
          <w:rFonts w:ascii="Tahoma" w:eastAsia="Times New Roman" w:hAnsi="Tahoma" w:cs="Tahoma"/>
          <w:color w:val="483D34"/>
          <w:kern w:val="0"/>
          <w:sz w:val="24"/>
          <w:szCs w:val="24"/>
          <w:lang w:eastAsia="es-UY"/>
          <w14:ligatures w14:val="none"/>
        </w:rPr>
        <w:t>.</w:t>
      </w:r>
    </w:p>
    <w:p w14:paraId="5FA2041F"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b/>
          <w:bCs/>
          <w:color w:val="483D34"/>
          <w:kern w:val="0"/>
          <w:sz w:val="24"/>
          <w:szCs w:val="24"/>
          <w:lang w:eastAsia="es-UY"/>
          <w14:ligatures w14:val="none"/>
        </w:rPr>
        <w:t xml:space="preserve">El prefacio habla del sentido de adherir a la </w:t>
      </w:r>
      <w:proofErr w:type="spellStart"/>
      <w:r w:rsidRPr="002429A7">
        <w:rPr>
          <w:rFonts w:ascii="Tahoma" w:eastAsia="Times New Roman" w:hAnsi="Tahoma" w:cs="Tahoma"/>
          <w:b/>
          <w:bCs/>
          <w:color w:val="483D34"/>
          <w:kern w:val="0"/>
          <w:sz w:val="24"/>
          <w:szCs w:val="24"/>
          <w:lang w:eastAsia="es-UY"/>
          <w14:ligatures w14:val="none"/>
        </w:rPr>
        <w:t>sinodalidad</w:t>
      </w:r>
      <w:proofErr w:type="spellEnd"/>
      <w:r w:rsidRPr="002429A7">
        <w:rPr>
          <w:rFonts w:ascii="Tahoma" w:eastAsia="Times New Roman" w:hAnsi="Tahoma" w:cs="Tahoma"/>
          <w:b/>
          <w:bCs/>
          <w:color w:val="483D34"/>
          <w:kern w:val="0"/>
          <w:sz w:val="24"/>
          <w:szCs w:val="24"/>
          <w:lang w:eastAsia="es-UY"/>
          <w14:ligatures w14:val="none"/>
        </w:rPr>
        <w:t>,</w:t>
      </w:r>
      <w:r w:rsidRPr="002429A7">
        <w:rPr>
          <w:rFonts w:ascii="Tahoma" w:eastAsia="Times New Roman" w:hAnsi="Tahoma" w:cs="Tahoma"/>
          <w:color w:val="483D34"/>
          <w:kern w:val="0"/>
          <w:sz w:val="24"/>
          <w:szCs w:val="24"/>
          <w:lang w:eastAsia="es-UY"/>
          <w14:ligatures w14:val="none"/>
        </w:rPr>
        <w:t xml:space="preserve"> como único camino hacia la reforma de una Iglesia que anhela superar vicios arraigados como la </w:t>
      </w:r>
      <w:proofErr w:type="spellStart"/>
      <w:r w:rsidRPr="002429A7">
        <w:rPr>
          <w:rFonts w:ascii="Tahoma" w:eastAsia="Times New Roman" w:hAnsi="Tahoma" w:cs="Tahoma"/>
          <w:color w:val="483D34"/>
          <w:kern w:val="0"/>
          <w:sz w:val="24"/>
          <w:szCs w:val="24"/>
          <w:lang w:eastAsia="es-UY"/>
          <w14:ligatures w14:val="none"/>
        </w:rPr>
        <w:t>autorreferencialidad</w:t>
      </w:r>
      <w:proofErr w:type="spellEnd"/>
      <w:r w:rsidRPr="002429A7">
        <w:rPr>
          <w:rFonts w:ascii="Tahoma" w:eastAsia="Times New Roman" w:hAnsi="Tahoma" w:cs="Tahoma"/>
          <w:color w:val="483D34"/>
          <w:kern w:val="0"/>
          <w:sz w:val="24"/>
          <w:szCs w:val="24"/>
          <w:lang w:eastAsia="es-UY"/>
          <w14:ligatures w14:val="none"/>
        </w:rPr>
        <w:t xml:space="preserve"> y el clericalismo, hallando valor en el otro sin temor a la diferencia.</w:t>
      </w:r>
    </w:p>
    <w:p w14:paraId="65850F32"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b/>
          <w:bCs/>
          <w:color w:val="483D34"/>
          <w:kern w:val="0"/>
          <w:sz w:val="24"/>
          <w:szCs w:val="24"/>
          <w:lang w:eastAsia="es-UY"/>
          <w14:ligatures w14:val="none"/>
        </w:rPr>
        <w:t>Iglesia de la escucha</w:t>
      </w:r>
    </w:p>
    <w:p w14:paraId="3CA4ED9F"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 xml:space="preserve">Algo que se advierte al inicio de texto cuando el Pontífice asegura que hemos de entender la </w:t>
      </w:r>
      <w:proofErr w:type="spellStart"/>
      <w:r w:rsidRPr="002429A7">
        <w:rPr>
          <w:rFonts w:ascii="Tahoma" w:eastAsia="Times New Roman" w:hAnsi="Tahoma" w:cs="Tahoma"/>
          <w:color w:val="483D34"/>
          <w:kern w:val="0"/>
          <w:sz w:val="24"/>
          <w:szCs w:val="24"/>
          <w:lang w:eastAsia="es-UY"/>
          <w14:ligatures w14:val="none"/>
        </w:rPr>
        <w:t>sinodalidad</w:t>
      </w:r>
      <w:proofErr w:type="spellEnd"/>
      <w:r w:rsidRPr="002429A7">
        <w:rPr>
          <w:rFonts w:ascii="Tahoma" w:eastAsia="Times New Roman" w:hAnsi="Tahoma" w:cs="Tahoma"/>
          <w:color w:val="483D34"/>
          <w:kern w:val="0"/>
          <w:sz w:val="24"/>
          <w:szCs w:val="24"/>
          <w:lang w:eastAsia="es-UY"/>
          <w14:ligatures w14:val="none"/>
        </w:rPr>
        <w:t xml:space="preserve"> como una </w:t>
      </w:r>
      <w:r w:rsidRPr="002429A7">
        <w:rPr>
          <w:rFonts w:ascii="Tahoma" w:eastAsia="Times New Roman" w:hAnsi="Tahoma" w:cs="Tahoma"/>
          <w:b/>
          <w:bCs/>
          <w:color w:val="483D34"/>
          <w:kern w:val="0"/>
          <w:sz w:val="24"/>
          <w:szCs w:val="24"/>
          <w:lang w:eastAsia="es-UY"/>
          <w14:ligatures w14:val="none"/>
        </w:rPr>
        <w:t>“dimensión dinámica, la dimensión histórica de la comunión eclesial</w:t>
      </w:r>
      <w:r w:rsidRPr="002429A7">
        <w:rPr>
          <w:rFonts w:ascii="Tahoma" w:eastAsia="Times New Roman" w:hAnsi="Tahoma" w:cs="Tahoma"/>
          <w:color w:val="483D34"/>
          <w:kern w:val="0"/>
          <w:sz w:val="24"/>
          <w:szCs w:val="24"/>
          <w:lang w:eastAsia="es-UY"/>
          <w14:ligatures w14:val="none"/>
        </w:rPr>
        <w:t xml:space="preserve">, fundada por la comunión trinitaria que apreciando simultáneamente el </w:t>
      </w:r>
      <w:proofErr w:type="spellStart"/>
      <w:r w:rsidRPr="002429A7">
        <w:rPr>
          <w:rFonts w:ascii="Tahoma" w:eastAsia="Times New Roman" w:hAnsi="Tahoma" w:cs="Tahoma"/>
          <w:color w:val="483D34"/>
          <w:kern w:val="0"/>
          <w:sz w:val="24"/>
          <w:szCs w:val="24"/>
          <w:lang w:eastAsia="es-UY"/>
          <w14:ligatures w14:val="none"/>
        </w:rPr>
        <w:t>Sensus</w:t>
      </w:r>
      <w:proofErr w:type="spellEnd"/>
      <w:r w:rsidRPr="002429A7">
        <w:rPr>
          <w:rFonts w:ascii="Tahoma" w:eastAsia="Times New Roman" w:hAnsi="Tahoma" w:cs="Tahoma"/>
          <w:color w:val="483D34"/>
          <w:kern w:val="0"/>
          <w:sz w:val="24"/>
          <w:szCs w:val="24"/>
          <w:lang w:eastAsia="es-UY"/>
          <w14:ligatures w14:val="none"/>
        </w:rPr>
        <w:t xml:space="preserve"> </w:t>
      </w:r>
      <w:proofErr w:type="spellStart"/>
      <w:r w:rsidRPr="002429A7">
        <w:rPr>
          <w:rFonts w:ascii="Tahoma" w:eastAsia="Times New Roman" w:hAnsi="Tahoma" w:cs="Tahoma"/>
          <w:color w:val="483D34"/>
          <w:kern w:val="0"/>
          <w:sz w:val="24"/>
          <w:szCs w:val="24"/>
          <w:lang w:eastAsia="es-UY"/>
          <w14:ligatures w14:val="none"/>
        </w:rPr>
        <w:t>fidei</w:t>
      </w:r>
      <w:proofErr w:type="spellEnd"/>
      <w:r w:rsidRPr="002429A7">
        <w:rPr>
          <w:rFonts w:ascii="Tahoma" w:eastAsia="Times New Roman" w:hAnsi="Tahoma" w:cs="Tahoma"/>
          <w:color w:val="483D34"/>
          <w:kern w:val="0"/>
          <w:sz w:val="24"/>
          <w:szCs w:val="24"/>
          <w:lang w:eastAsia="es-UY"/>
          <w14:ligatures w14:val="none"/>
        </w:rPr>
        <w:t xml:space="preserve"> de todo el santo pueblo fiel de Dios, </w:t>
      </w:r>
      <w:r w:rsidRPr="002429A7">
        <w:rPr>
          <w:rFonts w:ascii="Tahoma" w:eastAsia="Times New Roman" w:hAnsi="Tahoma" w:cs="Tahoma"/>
          <w:color w:val="483D34"/>
          <w:kern w:val="0"/>
          <w:sz w:val="24"/>
          <w:szCs w:val="24"/>
          <w:lang w:eastAsia="es-UY"/>
          <w14:ligatures w14:val="none"/>
        </w:rPr>
        <w:lastRenderedPageBreak/>
        <w:t xml:space="preserve">la colegialidad apostólica y la unidad con el sucesor de Pedro, ha de animar la conversión y reforma de la Iglesia a todo nivel”, esto explica porque para el Papa la </w:t>
      </w:r>
      <w:proofErr w:type="spellStart"/>
      <w:r w:rsidRPr="002429A7">
        <w:rPr>
          <w:rFonts w:ascii="Tahoma" w:eastAsia="Times New Roman" w:hAnsi="Tahoma" w:cs="Tahoma"/>
          <w:color w:val="483D34"/>
          <w:kern w:val="0"/>
          <w:sz w:val="24"/>
          <w:szCs w:val="24"/>
          <w:lang w:eastAsia="es-UY"/>
          <w14:ligatures w14:val="none"/>
        </w:rPr>
        <w:t>sinodalidad</w:t>
      </w:r>
      <w:proofErr w:type="spellEnd"/>
      <w:r w:rsidRPr="002429A7">
        <w:rPr>
          <w:rFonts w:ascii="Tahoma" w:eastAsia="Times New Roman" w:hAnsi="Tahoma" w:cs="Tahoma"/>
          <w:color w:val="483D34"/>
          <w:kern w:val="0"/>
          <w:sz w:val="24"/>
          <w:szCs w:val="24"/>
          <w:lang w:eastAsia="es-UY"/>
          <w14:ligatures w14:val="none"/>
        </w:rPr>
        <w:t xml:space="preserve"> no puede considerarse como algo optativo en la vida eclesial.</w:t>
      </w:r>
    </w:p>
    <w:p w14:paraId="1E3CBB4A"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Para el </w:t>
      </w:r>
      <w:r w:rsidRPr="002429A7">
        <w:rPr>
          <w:rFonts w:ascii="Tahoma" w:eastAsia="Times New Roman" w:hAnsi="Tahoma" w:cs="Tahoma"/>
          <w:b/>
          <w:bCs/>
          <w:color w:val="483D34"/>
          <w:kern w:val="0"/>
          <w:sz w:val="24"/>
          <w:szCs w:val="24"/>
          <w:lang w:eastAsia="es-UY"/>
          <w14:ligatures w14:val="none"/>
        </w:rPr>
        <w:t>Santo Padre una Iglesia sinodal supone una conversión de las mentalidades y prácticas,</w:t>
      </w:r>
      <w:r w:rsidRPr="002429A7">
        <w:rPr>
          <w:rFonts w:ascii="Tahoma" w:eastAsia="Times New Roman" w:hAnsi="Tahoma" w:cs="Tahoma"/>
          <w:color w:val="483D34"/>
          <w:kern w:val="0"/>
          <w:sz w:val="24"/>
          <w:szCs w:val="24"/>
          <w:lang w:eastAsia="es-UY"/>
          <w14:ligatures w14:val="none"/>
        </w:rPr>
        <w:t> entre ellas se detiene en la escucha, porque bien señala el prefacio "una iglesia sinodal es una Iglesia de la escucha, con la conciencia de que escuchar, es más que oír, esto implica entender que, </w:t>
      </w:r>
      <w:r w:rsidRPr="002429A7">
        <w:rPr>
          <w:rFonts w:ascii="Tahoma" w:eastAsia="Times New Roman" w:hAnsi="Tahoma" w:cs="Tahoma"/>
          <w:b/>
          <w:bCs/>
          <w:color w:val="483D34"/>
          <w:kern w:val="0"/>
          <w:sz w:val="24"/>
          <w:szCs w:val="24"/>
          <w:lang w:eastAsia="es-UY"/>
          <w14:ligatures w14:val="none"/>
        </w:rPr>
        <w:t>en la escucha recíproca, cada uno tiene algo que aprender".</w:t>
      </w:r>
    </w:p>
    <w:p w14:paraId="1AE9C726"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Aspecto que según explica el Papa, se hace vida cuando todos logran abrirse a la escucha el "pueblo fiel, el colegio episcopal, el obispo de Roma: uno en escucha de los otros y todos en escucha del Espíritu Santo, el Espíritu de verdad", el mismo del se habla en el Evangelio de Juan y permite conocer aquello que Dios busca decir a las Iglesias.</w:t>
      </w:r>
    </w:p>
    <w:p w14:paraId="1589B84D"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 xml:space="preserve">Convicción que recuerda en este prefacio, lo llevó a convocar el Sínodo de la </w:t>
      </w:r>
      <w:proofErr w:type="spellStart"/>
      <w:r w:rsidRPr="002429A7">
        <w:rPr>
          <w:rFonts w:ascii="Tahoma" w:eastAsia="Times New Roman" w:hAnsi="Tahoma" w:cs="Tahoma"/>
          <w:color w:val="483D34"/>
          <w:kern w:val="0"/>
          <w:sz w:val="24"/>
          <w:szCs w:val="24"/>
          <w:lang w:eastAsia="es-UY"/>
          <w14:ligatures w14:val="none"/>
        </w:rPr>
        <w:t>sinodalidad</w:t>
      </w:r>
      <w:proofErr w:type="spellEnd"/>
      <w:r w:rsidRPr="002429A7">
        <w:rPr>
          <w:rFonts w:ascii="Tahoma" w:eastAsia="Times New Roman" w:hAnsi="Tahoma" w:cs="Tahoma"/>
          <w:color w:val="483D34"/>
          <w:kern w:val="0"/>
          <w:sz w:val="24"/>
          <w:szCs w:val="24"/>
          <w:lang w:eastAsia="es-UY"/>
          <w14:ligatures w14:val="none"/>
        </w:rPr>
        <w:t xml:space="preserve"> inaugurado en octubre de 2021. "Este acontecimiento representa un Kairós para la vida y la misión de la Iglesia, porque nos pone en movimiento como Pueblo de Dios, </w:t>
      </w:r>
      <w:r w:rsidRPr="002429A7">
        <w:rPr>
          <w:rFonts w:ascii="Tahoma" w:eastAsia="Times New Roman" w:hAnsi="Tahoma" w:cs="Tahoma"/>
          <w:b/>
          <w:bCs/>
          <w:color w:val="483D34"/>
          <w:kern w:val="0"/>
          <w:sz w:val="24"/>
          <w:szCs w:val="24"/>
          <w:lang w:eastAsia="es-UY"/>
          <w14:ligatures w14:val="none"/>
        </w:rPr>
        <w:t>una invitación a escucharse de forma recíproca sin establecer límites al momento de imaginar, discernir y construir</w:t>
      </w:r>
      <w:r w:rsidRPr="002429A7">
        <w:rPr>
          <w:rFonts w:ascii="Tahoma" w:eastAsia="Times New Roman" w:hAnsi="Tahoma" w:cs="Tahoma"/>
          <w:color w:val="483D34"/>
          <w:kern w:val="0"/>
          <w:sz w:val="24"/>
          <w:szCs w:val="24"/>
          <w:lang w:eastAsia="es-UY"/>
          <w14:ligatures w14:val="none"/>
        </w:rPr>
        <w:t> lo que Dios nos pide en esta nueva etapa eclesial".</w:t>
      </w:r>
    </w:p>
    <w:p w14:paraId="5F701DFD"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b/>
          <w:bCs/>
          <w:color w:val="483D34"/>
          <w:kern w:val="0"/>
          <w:sz w:val="24"/>
          <w:szCs w:val="24"/>
          <w:lang w:eastAsia="es-UY"/>
          <w14:ligatures w14:val="none"/>
        </w:rPr>
        <w:t>Experiencia que enseña</w:t>
      </w:r>
    </w:p>
    <w:p w14:paraId="6B3B5FB4"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Así </w:t>
      </w:r>
      <w:r w:rsidRPr="002429A7">
        <w:rPr>
          <w:rFonts w:ascii="Tahoma" w:eastAsia="Times New Roman" w:hAnsi="Tahoma" w:cs="Tahoma"/>
          <w:b/>
          <w:bCs/>
          <w:color w:val="483D34"/>
          <w:kern w:val="0"/>
          <w:sz w:val="24"/>
          <w:szCs w:val="24"/>
          <w:lang w:eastAsia="es-UY"/>
          <w14:ligatures w14:val="none"/>
        </w:rPr>
        <w:t xml:space="preserve">el Papa Francisco invita a través de los Cuadernillos de </w:t>
      </w:r>
      <w:proofErr w:type="spellStart"/>
      <w:r w:rsidRPr="002429A7">
        <w:rPr>
          <w:rFonts w:ascii="Tahoma" w:eastAsia="Times New Roman" w:hAnsi="Tahoma" w:cs="Tahoma"/>
          <w:b/>
          <w:bCs/>
          <w:color w:val="483D34"/>
          <w:kern w:val="0"/>
          <w:sz w:val="24"/>
          <w:szCs w:val="24"/>
          <w:lang w:eastAsia="es-UY"/>
          <w14:ligatures w14:val="none"/>
        </w:rPr>
        <w:t>sinodalidad</w:t>
      </w:r>
      <w:proofErr w:type="spellEnd"/>
      <w:r w:rsidRPr="002429A7">
        <w:rPr>
          <w:rFonts w:ascii="Tahoma" w:eastAsia="Times New Roman" w:hAnsi="Tahoma" w:cs="Tahoma"/>
          <w:b/>
          <w:bCs/>
          <w:color w:val="483D34"/>
          <w:kern w:val="0"/>
          <w:sz w:val="24"/>
          <w:szCs w:val="24"/>
          <w:lang w:eastAsia="es-UY"/>
          <w14:ligatures w14:val="none"/>
        </w:rPr>
        <w:t xml:space="preserve"> a regresar a las fuentes,</w:t>
      </w:r>
      <w:r w:rsidRPr="002429A7">
        <w:rPr>
          <w:rFonts w:ascii="Tahoma" w:eastAsia="Times New Roman" w:hAnsi="Tahoma" w:cs="Tahoma"/>
          <w:color w:val="483D34"/>
          <w:kern w:val="0"/>
          <w:sz w:val="24"/>
          <w:szCs w:val="24"/>
          <w:lang w:eastAsia="es-UY"/>
          <w14:ligatures w14:val="none"/>
        </w:rPr>
        <w:t xml:space="preserve"> reflexionando sobre lo que es la </w:t>
      </w:r>
      <w:proofErr w:type="spellStart"/>
      <w:r w:rsidRPr="002429A7">
        <w:rPr>
          <w:rFonts w:ascii="Tahoma" w:eastAsia="Times New Roman" w:hAnsi="Tahoma" w:cs="Tahoma"/>
          <w:color w:val="483D34"/>
          <w:kern w:val="0"/>
          <w:sz w:val="24"/>
          <w:szCs w:val="24"/>
          <w:lang w:eastAsia="es-UY"/>
          <w14:ligatures w14:val="none"/>
        </w:rPr>
        <w:t>sinodalidad</w:t>
      </w:r>
      <w:proofErr w:type="spellEnd"/>
      <w:r w:rsidRPr="002429A7">
        <w:rPr>
          <w:rFonts w:ascii="Tahoma" w:eastAsia="Times New Roman" w:hAnsi="Tahoma" w:cs="Tahoma"/>
          <w:color w:val="483D34"/>
          <w:kern w:val="0"/>
          <w:sz w:val="24"/>
          <w:szCs w:val="24"/>
          <w:lang w:eastAsia="es-UY"/>
          <w14:ligatures w14:val="none"/>
        </w:rPr>
        <w:t xml:space="preserve"> a partir de la tradición de la Iglesia, la Sagrada Escritura y el Concilio Vaticano II. Igualmente exhorta a </w:t>
      </w:r>
      <w:r w:rsidRPr="002429A7">
        <w:rPr>
          <w:rFonts w:ascii="Tahoma" w:eastAsia="Times New Roman" w:hAnsi="Tahoma" w:cs="Tahoma"/>
          <w:b/>
          <w:bCs/>
          <w:color w:val="483D34"/>
          <w:kern w:val="0"/>
          <w:sz w:val="24"/>
          <w:szCs w:val="24"/>
          <w:lang w:eastAsia="es-UY"/>
          <w14:ligatures w14:val="none"/>
        </w:rPr>
        <w:t>"aprender de las experiencias concretas que ya existen en tantas culturas,</w:t>
      </w:r>
      <w:r w:rsidRPr="002429A7">
        <w:rPr>
          <w:rFonts w:ascii="Tahoma" w:eastAsia="Times New Roman" w:hAnsi="Tahoma" w:cs="Tahoma"/>
          <w:color w:val="483D34"/>
          <w:kern w:val="0"/>
          <w:sz w:val="24"/>
          <w:szCs w:val="24"/>
          <w:lang w:eastAsia="es-UY"/>
          <w14:ligatures w14:val="none"/>
        </w:rPr>
        <w:t> desde las que se viven en pequeñas comunidades pasando por otras en algunas diócesis e incluso las que existen a nivel continental".</w:t>
      </w:r>
    </w:p>
    <w:p w14:paraId="5FD372B3"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 xml:space="preserve">Solo así asegura el Pontífice se "apreciará la práctica concreta de la </w:t>
      </w:r>
      <w:proofErr w:type="spellStart"/>
      <w:r w:rsidRPr="002429A7">
        <w:rPr>
          <w:rFonts w:ascii="Tahoma" w:eastAsia="Times New Roman" w:hAnsi="Tahoma" w:cs="Tahoma"/>
          <w:color w:val="483D34"/>
          <w:kern w:val="0"/>
          <w:sz w:val="24"/>
          <w:szCs w:val="24"/>
          <w:lang w:eastAsia="es-UY"/>
          <w14:ligatures w14:val="none"/>
        </w:rPr>
        <w:t>sinodalidad</w:t>
      </w:r>
      <w:proofErr w:type="spellEnd"/>
      <w:r w:rsidRPr="002429A7">
        <w:rPr>
          <w:rFonts w:ascii="Tahoma" w:eastAsia="Times New Roman" w:hAnsi="Tahoma" w:cs="Tahoma"/>
          <w:color w:val="483D34"/>
          <w:kern w:val="0"/>
          <w:sz w:val="24"/>
          <w:szCs w:val="24"/>
          <w:lang w:eastAsia="es-UY"/>
          <w14:ligatures w14:val="none"/>
        </w:rPr>
        <w:t xml:space="preserve"> y su conexión con los problemas cotidianos de las personas". Finalmente aboga por que “esta colección</w:t>
      </w:r>
      <w:r w:rsidRPr="002429A7">
        <w:rPr>
          <w:rFonts w:ascii="Tahoma" w:eastAsia="Times New Roman" w:hAnsi="Tahoma" w:cs="Tahoma"/>
          <w:b/>
          <w:bCs/>
          <w:color w:val="483D34"/>
          <w:kern w:val="0"/>
          <w:sz w:val="24"/>
          <w:szCs w:val="24"/>
          <w:lang w:eastAsia="es-UY"/>
          <w14:ligatures w14:val="none"/>
        </w:rPr>
        <w:t xml:space="preserve"> anime la construcción de una Iglesia sinodal y en salida misionera, que no solo favorezca la compresión de la </w:t>
      </w:r>
      <w:proofErr w:type="spellStart"/>
      <w:r w:rsidRPr="002429A7">
        <w:rPr>
          <w:rFonts w:ascii="Tahoma" w:eastAsia="Times New Roman" w:hAnsi="Tahoma" w:cs="Tahoma"/>
          <w:b/>
          <w:bCs/>
          <w:color w:val="483D34"/>
          <w:kern w:val="0"/>
          <w:sz w:val="24"/>
          <w:szCs w:val="24"/>
          <w:lang w:eastAsia="es-UY"/>
          <w14:ligatures w14:val="none"/>
        </w:rPr>
        <w:t>sinodalidad</w:t>
      </w:r>
      <w:proofErr w:type="spellEnd"/>
      <w:r w:rsidRPr="002429A7">
        <w:rPr>
          <w:rFonts w:ascii="Tahoma" w:eastAsia="Times New Roman" w:hAnsi="Tahoma" w:cs="Tahoma"/>
          <w:b/>
          <w:bCs/>
          <w:color w:val="483D34"/>
          <w:kern w:val="0"/>
          <w:sz w:val="24"/>
          <w:szCs w:val="24"/>
          <w:lang w:eastAsia="es-UY"/>
          <w14:ligatures w14:val="none"/>
        </w:rPr>
        <w:t>, sino también su vivencia pastoral</w:t>
      </w:r>
      <w:r w:rsidRPr="002429A7">
        <w:rPr>
          <w:rFonts w:ascii="Tahoma" w:eastAsia="Times New Roman" w:hAnsi="Tahoma" w:cs="Tahoma"/>
          <w:color w:val="483D34"/>
          <w:kern w:val="0"/>
          <w:sz w:val="24"/>
          <w:szCs w:val="24"/>
          <w:lang w:eastAsia="es-UY"/>
          <w14:ligatures w14:val="none"/>
        </w:rPr>
        <w:t> para construir entre todos, la Iglesia del tercer milenio".</w:t>
      </w:r>
    </w:p>
    <w:p w14:paraId="4DE43609"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En palabras de </w:t>
      </w:r>
      <w:r w:rsidRPr="002429A7">
        <w:rPr>
          <w:rFonts w:ascii="Tahoma" w:eastAsia="Times New Roman" w:hAnsi="Tahoma" w:cs="Tahoma"/>
          <w:b/>
          <w:bCs/>
          <w:color w:val="483D34"/>
          <w:kern w:val="0"/>
          <w:sz w:val="24"/>
          <w:szCs w:val="24"/>
          <w:lang w:eastAsia="es-UY"/>
          <w14:ligatures w14:val="none"/>
        </w:rPr>
        <w:t xml:space="preserve">Rafael </w:t>
      </w:r>
      <w:proofErr w:type="spellStart"/>
      <w:r w:rsidRPr="002429A7">
        <w:rPr>
          <w:rFonts w:ascii="Tahoma" w:eastAsia="Times New Roman" w:hAnsi="Tahoma" w:cs="Tahoma"/>
          <w:b/>
          <w:bCs/>
          <w:color w:val="483D34"/>
          <w:kern w:val="0"/>
          <w:sz w:val="24"/>
          <w:szCs w:val="24"/>
          <w:lang w:eastAsia="es-UY"/>
          <w14:ligatures w14:val="none"/>
        </w:rPr>
        <w:t>Luciani</w:t>
      </w:r>
      <w:proofErr w:type="spellEnd"/>
      <w:r w:rsidRPr="002429A7">
        <w:rPr>
          <w:rFonts w:ascii="Tahoma" w:eastAsia="Times New Roman" w:hAnsi="Tahoma" w:cs="Tahoma"/>
          <w:b/>
          <w:bCs/>
          <w:color w:val="483D34"/>
          <w:kern w:val="0"/>
          <w:sz w:val="24"/>
          <w:szCs w:val="24"/>
          <w:lang w:eastAsia="es-UY"/>
          <w14:ligatures w14:val="none"/>
        </w:rPr>
        <w:t xml:space="preserve"> y Serena </w:t>
      </w:r>
      <w:proofErr w:type="spellStart"/>
      <w:r w:rsidRPr="002429A7">
        <w:rPr>
          <w:rFonts w:ascii="Tahoma" w:eastAsia="Times New Roman" w:hAnsi="Tahoma" w:cs="Tahoma"/>
          <w:b/>
          <w:bCs/>
          <w:color w:val="483D34"/>
          <w:kern w:val="0"/>
          <w:sz w:val="24"/>
          <w:szCs w:val="24"/>
          <w:lang w:eastAsia="es-UY"/>
          <w14:ligatures w14:val="none"/>
        </w:rPr>
        <w:t>Noceti</w:t>
      </w:r>
      <w:proofErr w:type="spellEnd"/>
      <w:r w:rsidRPr="002429A7">
        <w:rPr>
          <w:rFonts w:ascii="Tahoma" w:eastAsia="Times New Roman" w:hAnsi="Tahoma" w:cs="Tahoma"/>
          <w:color w:val="483D34"/>
          <w:kern w:val="0"/>
          <w:sz w:val="24"/>
          <w:szCs w:val="24"/>
          <w:lang w:eastAsia="es-UY"/>
          <w14:ligatures w14:val="none"/>
        </w:rPr>
        <w:t xml:space="preserve"> este prefacio los invita a considerar su trabajo al frente de los Cuadernillos de </w:t>
      </w:r>
      <w:proofErr w:type="spellStart"/>
      <w:r w:rsidRPr="002429A7">
        <w:rPr>
          <w:rFonts w:ascii="Tahoma" w:eastAsia="Times New Roman" w:hAnsi="Tahoma" w:cs="Tahoma"/>
          <w:color w:val="483D34"/>
          <w:kern w:val="0"/>
          <w:sz w:val="24"/>
          <w:szCs w:val="24"/>
          <w:lang w:eastAsia="es-UY"/>
          <w14:ligatures w14:val="none"/>
        </w:rPr>
        <w:t>sinodalidad</w:t>
      </w:r>
      <w:proofErr w:type="spellEnd"/>
      <w:r w:rsidRPr="002429A7">
        <w:rPr>
          <w:rFonts w:ascii="Tahoma" w:eastAsia="Times New Roman" w:hAnsi="Tahoma" w:cs="Tahoma"/>
          <w:color w:val="483D34"/>
          <w:kern w:val="0"/>
          <w:sz w:val="24"/>
          <w:szCs w:val="24"/>
          <w:lang w:eastAsia="es-UY"/>
          <w14:ligatures w14:val="none"/>
        </w:rPr>
        <w:t xml:space="preserve"> como “</w:t>
      </w:r>
      <w:r w:rsidRPr="002429A7">
        <w:rPr>
          <w:rFonts w:ascii="Tahoma" w:eastAsia="Times New Roman" w:hAnsi="Tahoma" w:cs="Tahoma"/>
          <w:b/>
          <w:bCs/>
          <w:color w:val="483D34"/>
          <w:kern w:val="0"/>
          <w:sz w:val="24"/>
          <w:szCs w:val="24"/>
          <w:lang w:eastAsia="es-UY"/>
          <w14:ligatures w14:val="none"/>
        </w:rPr>
        <w:t>un fruto que pueda llevarse a muchos lugares</w:t>
      </w:r>
      <w:r w:rsidRPr="002429A7">
        <w:rPr>
          <w:rFonts w:ascii="Tahoma" w:eastAsia="Times New Roman" w:hAnsi="Tahoma" w:cs="Tahoma"/>
          <w:color w:val="483D34"/>
          <w:kern w:val="0"/>
          <w:sz w:val="24"/>
          <w:szCs w:val="24"/>
          <w:lang w:eastAsia="es-UY"/>
          <w14:ligatures w14:val="none"/>
        </w:rPr>
        <w:t> para que podamos encontrar lo concreto de esta iglesia sinodal.</w:t>
      </w:r>
    </w:p>
    <w:p w14:paraId="46F9DE85"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t>Por eso, cuando hizo el prefacio nos alegramos, porque no solo es algo solo de unos autores, sino que representa el apoyo de un pontificado que ha iniciado un proceso sinodal y al que nosotros hemos querido contribuir… el Papa ha dicho que </w:t>
      </w:r>
      <w:r w:rsidRPr="002429A7">
        <w:rPr>
          <w:rFonts w:ascii="Tahoma" w:eastAsia="Times New Roman" w:hAnsi="Tahoma" w:cs="Tahoma"/>
          <w:b/>
          <w:bCs/>
          <w:color w:val="483D34"/>
          <w:kern w:val="0"/>
          <w:sz w:val="24"/>
          <w:szCs w:val="24"/>
          <w:lang w:eastAsia="es-UY"/>
          <w14:ligatures w14:val="none"/>
        </w:rPr>
        <w:t xml:space="preserve">la </w:t>
      </w:r>
      <w:proofErr w:type="spellStart"/>
      <w:r w:rsidRPr="002429A7">
        <w:rPr>
          <w:rFonts w:ascii="Tahoma" w:eastAsia="Times New Roman" w:hAnsi="Tahoma" w:cs="Tahoma"/>
          <w:b/>
          <w:bCs/>
          <w:color w:val="483D34"/>
          <w:kern w:val="0"/>
          <w:sz w:val="24"/>
          <w:szCs w:val="24"/>
          <w:lang w:eastAsia="es-UY"/>
          <w14:ligatures w14:val="none"/>
        </w:rPr>
        <w:t>sinodalidad</w:t>
      </w:r>
      <w:proofErr w:type="spellEnd"/>
      <w:r w:rsidRPr="002429A7">
        <w:rPr>
          <w:rFonts w:ascii="Tahoma" w:eastAsia="Times New Roman" w:hAnsi="Tahoma" w:cs="Tahoma"/>
          <w:b/>
          <w:bCs/>
          <w:color w:val="483D34"/>
          <w:kern w:val="0"/>
          <w:sz w:val="24"/>
          <w:szCs w:val="24"/>
          <w:lang w:eastAsia="es-UY"/>
          <w14:ligatures w14:val="none"/>
        </w:rPr>
        <w:t xml:space="preserve"> es lo que Dios le va a pedir a la Iglesia del tercer milenio</w:t>
      </w:r>
      <w:r w:rsidRPr="002429A7">
        <w:rPr>
          <w:rFonts w:ascii="Tahoma" w:eastAsia="Times New Roman" w:hAnsi="Tahoma" w:cs="Tahoma"/>
          <w:color w:val="483D34"/>
          <w:kern w:val="0"/>
          <w:sz w:val="24"/>
          <w:szCs w:val="24"/>
          <w:lang w:eastAsia="es-UY"/>
          <w14:ligatures w14:val="none"/>
        </w:rPr>
        <w:t xml:space="preserve"> y para nosotros es contribuir a este camino de iglesia, como teólogos y con esta palabra del Papa que </w:t>
      </w:r>
      <w:proofErr w:type="gramStart"/>
      <w:r w:rsidRPr="002429A7">
        <w:rPr>
          <w:rFonts w:ascii="Tahoma" w:eastAsia="Times New Roman" w:hAnsi="Tahoma" w:cs="Tahoma"/>
          <w:color w:val="483D34"/>
          <w:kern w:val="0"/>
          <w:sz w:val="24"/>
          <w:szCs w:val="24"/>
          <w:lang w:eastAsia="es-UY"/>
          <w14:ligatures w14:val="none"/>
        </w:rPr>
        <w:t>va</w:t>
      </w:r>
      <w:proofErr w:type="gramEnd"/>
      <w:r w:rsidRPr="002429A7">
        <w:rPr>
          <w:rFonts w:ascii="Tahoma" w:eastAsia="Times New Roman" w:hAnsi="Tahoma" w:cs="Tahoma"/>
          <w:color w:val="483D34"/>
          <w:kern w:val="0"/>
          <w:sz w:val="24"/>
          <w:szCs w:val="24"/>
          <w:lang w:eastAsia="es-UY"/>
          <w14:ligatures w14:val="none"/>
        </w:rPr>
        <w:t xml:space="preserve"> sustentar nuestro trabajo y ministerio".</w:t>
      </w:r>
    </w:p>
    <w:p w14:paraId="7ADA79B1"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color w:val="483D34"/>
          <w:kern w:val="0"/>
          <w:sz w:val="24"/>
          <w:szCs w:val="24"/>
          <w:lang w:eastAsia="es-UY"/>
          <w14:ligatures w14:val="none"/>
        </w:rPr>
        <w:lastRenderedPageBreak/>
        <w:t> </w:t>
      </w:r>
    </w:p>
    <w:p w14:paraId="2A7B724A" w14:textId="77777777" w:rsidR="002429A7" w:rsidRPr="002429A7" w:rsidRDefault="002429A7" w:rsidP="002429A7">
      <w:pPr>
        <w:spacing w:after="180" w:line="240" w:lineRule="auto"/>
        <w:jc w:val="both"/>
        <w:rPr>
          <w:rFonts w:ascii="Tahoma" w:eastAsia="Times New Roman" w:hAnsi="Tahoma" w:cs="Tahoma"/>
          <w:color w:val="483D34"/>
          <w:kern w:val="0"/>
          <w:sz w:val="24"/>
          <w:szCs w:val="24"/>
          <w:lang w:eastAsia="es-UY"/>
          <w14:ligatures w14:val="none"/>
        </w:rPr>
      </w:pPr>
      <w:r w:rsidRPr="002429A7">
        <w:rPr>
          <w:rFonts w:ascii="Tahoma" w:eastAsia="Times New Roman" w:hAnsi="Tahoma" w:cs="Tahoma"/>
          <w:b/>
          <w:bCs/>
          <w:color w:val="483D34"/>
          <w:kern w:val="0"/>
          <w:sz w:val="24"/>
          <w:szCs w:val="24"/>
          <w:lang w:eastAsia="es-UY"/>
          <w14:ligatures w14:val="none"/>
        </w:rPr>
        <w:t>Paola Calderón</w:t>
      </w:r>
    </w:p>
    <w:p w14:paraId="379D5004" w14:textId="77777777" w:rsidR="00926044" w:rsidRDefault="00926044" w:rsidP="002429A7"/>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2D98"/>
    <w:multiLevelType w:val="multilevel"/>
    <w:tmpl w:val="A300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01DB5"/>
    <w:multiLevelType w:val="multilevel"/>
    <w:tmpl w:val="D230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447259">
    <w:abstractNumId w:val="1"/>
  </w:num>
  <w:num w:numId="2" w16cid:durableId="2086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A7"/>
    <w:rsid w:val="002429A7"/>
    <w:rsid w:val="00926044"/>
    <w:rsid w:val="00DD75C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8413"/>
  <w15:chartTrackingRefBased/>
  <w15:docId w15:val="{F0B5B62F-061A-4E98-A0D9-612FC10B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2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2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29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29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29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29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29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29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29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29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29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29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29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29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29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29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29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29A7"/>
    <w:rPr>
      <w:rFonts w:eastAsiaTheme="majorEastAsia" w:cstheme="majorBidi"/>
      <w:color w:val="272727" w:themeColor="text1" w:themeTint="D8"/>
    </w:rPr>
  </w:style>
  <w:style w:type="paragraph" w:styleId="Ttulo">
    <w:name w:val="Title"/>
    <w:basedOn w:val="Normal"/>
    <w:next w:val="Normal"/>
    <w:link w:val="TtuloCar"/>
    <w:uiPriority w:val="10"/>
    <w:qFormat/>
    <w:rsid w:val="00242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29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29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29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29A7"/>
    <w:pPr>
      <w:spacing w:before="160"/>
      <w:jc w:val="center"/>
    </w:pPr>
    <w:rPr>
      <w:i/>
      <w:iCs/>
      <w:color w:val="404040" w:themeColor="text1" w:themeTint="BF"/>
    </w:rPr>
  </w:style>
  <w:style w:type="character" w:customStyle="1" w:styleId="CitaCar">
    <w:name w:val="Cita Car"/>
    <w:basedOn w:val="Fuentedeprrafopredeter"/>
    <w:link w:val="Cita"/>
    <w:uiPriority w:val="29"/>
    <w:rsid w:val="002429A7"/>
    <w:rPr>
      <w:i/>
      <w:iCs/>
      <w:color w:val="404040" w:themeColor="text1" w:themeTint="BF"/>
    </w:rPr>
  </w:style>
  <w:style w:type="paragraph" w:styleId="Prrafodelista">
    <w:name w:val="List Paragraph"/>
    <w:basedOn w:val="Normal"/>
    <w:uiPriority w:val="34"/>
    <w:qFormat/>
    <w:rsid w:val="002429A7"/>
    <w:pPr>
      <w:ind w:left="720"/>
      <w:contextualSpacing/>
    </w:pPr>
  </w:style>
  <w:style w:type="character" w:styleId="nfasisintenso">
    <w:name w:val="Intense Emphasis"/>
    <w:basedOn w:val="Fuentedeprrafopredeter"/>
    <w:uiPriority w:val="21"/>
    <w:qFormat/>
    <w:rsid w:val="002429A7"/>
    <w:rPr>
      <w:i/>
      <w:iCs/>
      <w:color w:val="0F4761" w:themeColor="accent1" w:themeShade="BF"/>
    </w:rPr>
  </w:style>
  <w:style w:type="paragraph" w:styleId="Citadestacada">
    <w:name w:val="Intense Quote"/>
    <w:basedOn w:val="Normal"/>
    <w:next w:val="Normal"/>
    <w:link w:val="CitadestacadaCar"/>
    <w:uiPriority w:val="30"/>
    <w:qFormat/>
    <w:rsid w:val="00242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29A7"/>
    <w:rPr>
      <w:i/>
      <w:iCs/>
      <w:color w:val="0F4761" w:themeColor="accent1" w:themeShade="BF"/>
    </w:rPr>
  </w:style>
  <w:style w:type="character" w:styleId="Referenciaintensa">
    <w:name w:val="Intense Reference"/>
    <w:basedOn w:val="Fuentedeprrafopredeter"/>
    <w:uiPriority w:val="32"/>
    <w:qFormat/>
    <w:rsid w:val="002429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022954">
      <w:bodyDiv w:val="1"/>
      <w:marLeft w:val="0"/>
      <w:marRight w:val="0"/>
      <w:marTop w:val="0"/>
      <w:marBottom w:val="0"/>
      <w:divBdr>
        <w:top w:val="none" w:sz="0" w:space="0" w:color="auto"/>
        <w:left w:val="none" w:sz="0" w:space="0" w:color="auto"/>
        <w:bottom w:val="none" w:sz="0" w:space="0" w:color="auto"/>
        <w:right w:val="none" w:sz="0" w:space="0" w:color="auto"/>
      </w:divBdr>
      <w:divsChild>
        <w:div w:id="1091698745">
          <w:marLeft w:val="0"/>
          <w:marRight w:val="0"/>
          <w:marTop w:val="240"/>
          <w:marBottom w:val="0"/>
          <w:divBdr>
            <w:top w:val="none" w:sz="0" w:space="0" w:color="auto"/>
            <w:left w:val="none" w:sz="0" w:space="0" w:color="auto"/>
            <w:bottom w:val="none" w:sz="0" w:space="0" w:color="auto"/>
            <w:right w:val="none" w:sz="0" w:space="0" w:color="auto"/>
          </w:divBdr>
        </w:div>
        <w:div w:id="1947535537">
          <w:marLeft w:val="0"/>
          <w:marRight w:val="0"/>
          <w:marTop w:val="0"/>
          <w:marBottom w:val="0"/>
          <w:divBdr>
            <w:top w:val="none" w:sz="0" w:space="0" w:color="auto"/>
            <w:left w:val="none" w:sz="0" w:space="0" w:color="auto"/>
            <w:bottom w:val="none" w:sz="0" w:space="0" w:color="auto"/>
            <w:right w:val="none" w:sz="0" w:space="0" w:color="auto"/>
          </w:divBdr>
          <w:divsChild>
            <w:div w:id="644548475">
              <w:marLeft w:val="0"/>
              <w:marRight w:val="0"/>
              <w:marTop w:val="0"/>
              <w:marBottom w:val="0"/>
              <w:divBdr>
                <w:top w:val="none" w:sz="0" w:space="0" w:color="auto"/>
                <w:left w:val="none" w:sz="0" w:space="0" w:color="auto"/>
                <w:bottom w:val="none" w:sz="0" w:space="0" w:color="auto"/>
                <w:right w:val="none" w:sz="0" w:space="0" w:color="auto"/>
              </w:divBdr>
            </w:div>
          </w:divsChild>
        </w:div>
        <w:div w:id="1878004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adulta.com/es/buscadoravanzado/itemlist/user/36598-paolacalder%C3%B3n.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4565</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2024-09-09T18:19:00Z</dcterms:created>
  <dcterms:modified xsi:type="dcterms:W3CDTF">2024-09-09T18:20:00Z</dcterms:modified>
</cp:coreProperties>
</file>