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3F357" w14:textId="77777777" w:rsidR="009832FD" w:rsidRPr="009832FD" w:rsidRDefault="009832FD" w:rsidP="009832FD">
      <w:pPr>
        <w:shd w:val="clear" w:color="auto" w:fill="FFFFFF"/>
        <w:spacing w:after="100" w:afterAutospacing="1" w:line="240" w:lineRule="auto"/>
        <w:jc w:val="center"/>
        <w:outlineLvl w:val="0"/>
        <w:rPr>
          <w:rFonts w:ascii="Arial" w:eastAsia="Times New Roman" w:hAnsi="Arial" w:cs="Arial"/>
          <w:b/>
          <w:bCs/>
          <w:color w:val="003250"/>
          <w:kern w:val="36"/>
          <w:sz w:val="48"/>
          <w:szCs w:val="48"/>
          <w:lang w:eastAsia="es-UY"/>
          <w14:ligatures w14:val="none"/>
        </w:rPr>
      </w:pPr>
      <w:proofErr w:type="spellStart"/>
      <w:r w:rsidRPr="009832FD">
        <w:rPr>
          <w:rFonts w:ascii="Arial" w:eastAsia="Times New Roman" w:hAnsi="Arial" w:cs="Arial"/>
          <w:b/>
          <w:bCs/>
          <w:color w:val="003250"/>
          <w:kern w:val="36"/>
          <w:sz w:val="48"/>
          <w:szCs w:val="48"/>
          <w:lang w:eastAsia="es-UY"/>
          <w14:ligatures w14:val="none"/>
        </w:rPr>
        <w:t>Colonialidad</w:t>
      </w:r>
      <w:proofErr w:type="spellEnd"/>
      <w:r w:rsidRPr="009832FD">
        <w:rPr>
          <w:rFonts w:ascii="Arial" w:eastAsia="Times New Roman" w:hAnsi="Arial" w:cs="Arial"/>
          <w:b/>
          <w:bCs/>
          <w:color w:val="003250"/>
          <w:kern w:val="36"/>
          <w:sz w:val="48"/>
          <w:szCs w:val="48"/>
          <w:lang w:eastAsia="es-UY"/>
          <w14:ligatures w14:val="none"/>
        </w:rPr>
        <w:t xml:space="preserve"> del poder y autogobiernos territoriales</w:t>
      </w:r>
    </w:p>
    <w:p w14:paraId="76298CB1" w14:textId="77777777" w:rsidR="009832FD" w:rsidRDefault="009832FD" w:rsidP="009832FD">
      <w:pPr>
        <w:shd w:val="clear" w:color="auto" w:fill="FFFFFF"/>
        <w:spacing w:after="100" w:afterAutospacing="1" w:line="240" w:lineRule="auto"/>
        <w:jc w:val="both"/>
        <w:rPr>
          <w:rFonts w:eastAsia="Times New Roman" w:cs="Arial"/>
          <w:color w:val="003250"/>
          <w:kern w:val="0"/>
          <w:sz w:val="24"/>
          <w:szCs w:val="24"/>
          <w:lang w:eastAsia="es-UY"/>
          <w14:ligatures w14:val="none"/>
        </w:rPr>
      </w:pPr>
    </w:p>
    <w:p w14:paraId="10EBAAB3" w14:textId="083E9FD0" w:rsidR="009832FD" w:rsidRPr="009832FD" w:rsidRDefault="009832FD" w:rsidP="009832FD">
      <w:pPr>
        <w:shd w:val="clear" w:color="auto" w:fill="FFFFFF"/>
        <w:spacing w:after="0" w:line="240" w:lineRule="auto"/>
        <w:jc w:val="both"/>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t>Roberto Espinosa</w:t>
      </w:r>
    </w:p>
    <w:p w14:paraId="53D11DDB" w14:textId="220E67BB" w:rsidR="009832FD" w:rsidRPr="009832FD" w:rsidRDefault="009832FD" w:rsidP="009832FD">
      <w:pPr>
        <w:shd w:val="clear" w:color="auto" w:fill="FFFFFF"/>
        <w:spacing w:after="0" w:line="240" w:lineRule="auto"/>
        <w:jc w:val="both"/>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t>1/10/2024</w:t>
      </w:r>
    </w:p>
    <w:p w14:paraId="3C2CEE44" w14:textId="77777777" w:rsidR="009832FD" w:rsidRDefault="009832FD" w:rsidP="009832FD">
      <w:pPr>
        <w:shd w:val="clear" w:color="auto" w:fill="FFFFFF"/>
        <w:spacing w:after="100" w:afterAutospacing="1" w:line="240" w:lineRule="auto"/>
        <w:jc w:val="both"/>
        <w:rPr>
          <w:rFonts w:eastAsia="Times New Roman" w:cs="Arial"/>
          <w:color w:val="003250"/>
          <w:kern w:val="0"/>
          <w:sz w:val="24"/>
          <w:szCs w:val="24"/>
          <w:lang w:eastAsia="es-UY"/>
          <w14:ligatures w14:val="none"/>
        </w:rPr>
      </w:pPr>
    </w:p>
    <w:p w14:paraId="085BD7A8" w14:textId="22BD7262" w:rsidR="009832FD" w:rsidRPr="009832FD" w:rsidRDefault="009832FD" w:rsidP="009832FD">
      <w:pPr>
        <w:shd w:val="clear" w:color="auto" w:fill="FFFFFF"/>
        <w:spacing w:after="100" w:afterAutospacing="1" w:line="240" w:lineRule="auto"/>
        <w:jc w:val="both"/>
        <w:rPr>
          <w:rFonts w:eastAsia="Times New Roman" w:cs="Arial"/>
          <w:color w:val="003250"/>
          <w:kern w:val="0"/>
          <w:sz w:val="24"/>
          <w:szCs w:val="24"/>
          <w:lang w:eastAsia="es-UY"/>
          <w14:ligatures w14:val="none"/>
        </w:rPr>
      </w:pPr>
      <w:r w:rsidRPr="009832FD">
        <w:rPr>
          <w:rFonts w:eastAsia="Times New Roman" w:cs="Arial"/>
          <w:color w:val="003250"/>
          <w:kern w:val="0"/>
          <w:sz w:val="24"/>
          <w:szCs w:val="24"/>
          <w:lang w:eastAsia="es-UY"/>
          <w14:ligatures w14:val="none"/>
        </w:rPr>
        <w:t xml:space="preserve">En un Perú dominado por las mafias, la </w:t>
      </w:r>
      <w:proofErr w:type="spellStart"/>
      <w:r w:rsidRPr="009832FD">
        <w:rPr>
          <w:rFonts w:eastAsia="Times New Roman" w:cs="Arial"/>
          <w:color w:val="003250"/>
          <w:kern w:val="0"/>
          <w:sz w:val="24"/>
          <w:szCs w:val="24"/>
          <w:lang w:eastAsia="es-UY"/>
          <w14:ligatures w14:val="none"/>
        </w:rPr>
        <w:t>colonialidad</w:t>
      </w:r>
      <w:proofErr w:type="spellEnd"/>
      <w:r w:rsidRPr="009832FD">
        <w:rPr>
          <w:rFonts w:eastAsia="Times New Roman" w:cs="Arial"/>
          <w:color w:val="003250"/>
          <w:kern w:val="0"/>
          <w:sz w:val="24"/>
          <w:szCs w:val="24"/>
          <w:lang w:eastAsia="es-UY"/>
          <w14:ligatures w14:val="none"/>
        </w:rPr>
        <w:t xml:space="preserve"> del poder acelera la ofensiva </w:t>
      </w:r>
      <w:proofErr w:type="spellStart"/>
      <w:r w:rsidRPr="009832FD">
        <w:rPr>
          <w:rFonts w:eastAsia="Times New Roman" w:cs="Arial"/>
          <w:color w:val="003250"/>
          <w:kern w:val="0"/>
          <w:sz w:val="24"/>
          <w:szCs w:val="24"/>
          <w:lang w:eastAsia="es-UY"/>
          <w14:ligatures w14:val="none"/>
        </w:rPr>
        <w:t>antiamazónica</w:t>
      </w:r>
      <w:proofErr w:type="spellEnd"/>
      <w:r w:rsidRPr="009832FD">
        <w:rPr>
          <w:rFonts w:eastAsia="Times New Roman" w:cs="Arial"/>
          <w:color w:val="003250"/>
          <w:kern w:val="0"/>
          <w:sz w:val="24"/>
          <w:szCs w:val="24"/>
          <w:lang w:eastAsia="es-UY"/>
          <w14:ligatures w14:val="none"/>
        </w:rPr>
        <w:t xml:space="preserve"> y antinacional. En la Amazonía, la “conquista colonial” continúa y provoca un aluvión de agresiones: colonización, parcelación, tala ilegal, palma aceitera, monocultivos, carreteras, concesiones mineras, minería aurífera ilegal, colonias menonitas intocables y expansión del narcotráfico. Si el Estado reitera su racismo de asumir una Amazonía “vacía” y “conquistable para hacerla rentable”, entonces es inevitable que la respuesta indígena para defender sus derechos escale hacia el control y autogobierno territorial.</w:t>
      </w:r>
    </w:p>
    <w:p w14:paraId="466D0373"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Las autonomías o autogobiernos territoriales de los pueblos y naciones en la Amazonía peruana constituyen un proceso activo y potente, que se evidencia en experiencias muy diferentes. Las más avanzadas son el </w:t>
      </w:r>
      <w:hyperlink r:id="rId4" w:history="1">
        <w:r w:rsidRPr="009832FD">
          <w:rPr>
            <w:rFonts w:eastAsia="Times New Roman" w:cs="Times New Roman"/>
            <w:color w:val="2B7AAA"/>
            <w:kern w:val="0"/>
            <w:sz w:val="24"/>
            <w:szCs w:val="24"/>
            <w:lang w:eastAsia="es-UY"/>
            <w14:ligatures w14:val="none"/>
          </w:rPr>
          <w:t xml:space="preserve">Gobierno Territorial Autónomo de la Nación </w:t>
        </w:r>
        <w:proofErr w:type="spellStart"/>
        <w:r w:rsidRPr="009832FD">
          <w:rPr>
            <w:rFonts w:eastAsia="Times New Roman" w:cs="Times New Roman"/>
            <w:color w:val="2B7AAA"/>
            <w:kern w:val="0"/>
            <w:sz w:val="24"/>
            <w:szCs w:val="24"/>
            <w:lang w:eastAsia="es-UY"/>
            <w14:ligatures w14:val="none"/>
          </w:rPr>
          <w:t>Wampís</w:t>
        </w:r>
        <w:proofErr w:type="spellEnd"/>
        <w:r w:rsidRPr="009832FD">
          <w:rPr>
            <w:rFonts w:eastAsia="Times New Roman" w:cs="Times New Roman"/>
            <w:color w:val="2B7AAA"/>
            <w:kern w:val="0"/>
            <w:sz w:val="24"/>
            <w:szCs w:val="24"/>
            <w:lang w:eastAsia="es-UY"/>
            <w14:ligatures w14:val="none"/>
          </w:rPr>
          <w:t xml:space="preserve"> (GTANW)</w:t>
        </w:r>
      </w:hyperlink>
      <w:r w:rsidRPr="009832FD">
        <w:rPr>
          <w:rFonts w:eastAsia="Times New Roman" w:cs="Times New Roman"/>
          <w:color w:val="1D1D1B"/>
          <w:kern w:val="0"/>
          <w:sz w:val="24"/>
          <w:szCs w:val="24"/>
          <w:lang w:eastAsia="es-UY"/>
          <w14:ligatures w14:val="none"/>
        </w:rPr>
        <w:t>, el </w:t>
      </w:r>
      <w:hyperlink r:id="rId5" w:history="1">
        <w:r w:rsidRPr="009832FD">
          <w:rPr>
            <w:rFonts w:eastAsia="Times New Roman" w:cs="Times New Roman"/>
            <w:color w:val="2B7AAA"/>
            <w:kern w:val="0"/>
            <w:sz w:val="24"/>
            <w:szCs w:val="24"/>
            <w:lang w:eastAsia="es-UY"/>
            <w14:ligatures w14:val="none"/>
          </w:rPr>
          <w:t xml:space="preserve">Gobierno Territorial Autónomo </w:t>
        </w:r>
        <w:proofErr w:type="spellStart"/>
        <w:r w:rsidRPr="009832FD">
          <w:rPr>
            <w:rFonts w:eastAsia="Times New Roman" w:cs="Times New Roman"/>
            <w:color w:val="2B7AAA"/>
            <w:kern w:val="0"/>
            <w:sz w:val="24"/>
            <w:szCs w:val="24"/>
            <w:lang w:eastAsia="es-UY"/>
            <w14:ligatures w14:val="none"/>
          </w:rPr>
          <w:t>Awajún</w:t>
        </w:r>
        <w:proofErr w:type="spellEnd"/>
        <w:r w:rsidRPr="009832FD">
          <w:rPr>
            <w:rFonts w:eastAsia="Times New Roman" w:cs="Times New Roman"/>
            <w:color w:val="2B7AAA"/>
            <w:kern w:val="0"/>
            <w:sz w:val="24"/>
            <w:szCs w:val="24"/>
            <w:lang w:eastAsia="es-UY"/>
            <w14:ligatures w14:val="none"/>
          </w:rPr>
          <w:t xml:space="preserve"> (GTAA)</w:t>
        </w:r>
      </w:hyperlink>
      <w:r w:rsidRPr="009832FD">
        <w:rPr>
          <w:rFonts w:eastAsia="Times New Roman" w:cs="Times New Roman"/>
          <w:color w:val="1D1D1B"/>
          <w:kern w:val="0"/>
          <w:sz w:val="24"/>
          <w:szCs w:val="24"/>
          <w:lang w:eastAsia="es-UY"/>
          <w14:ligatures w14:val="none"/>
        </w:rPr>
        <w:t> y la </w:t>
      </w:r>
      <w:hyperlink r:id="rId6" w:history="1">
        <w:r w:rsidRPr="009832FD">
          <w:rPr>
            <w:rFonts w:eastAsia="Times New Roman" w:cs="Times New Roman"/>
            <w:color w:val="2B7AAA"/>
            <w:kern w:val="0"/>
            <w:sz w:val="24"/>
            <w:szCs w:val="24"/>
            <w:lang w:eastAsia="es-UY"/>
            <w14:ligatures w14:val="none"/>
          </w:rPr>
          <w:t>Federación de la Nacionalidad Achuar del Perú (FENAP)</w:t>
        </w:r>
      </w:hyperlink>
      <w:r w:rsidRPr="009832FD">
        <w:rPr>
          <w:rFonts w:eastAsia="Times New Roman" w:cs="Times New Roman"/>
          <w:color w:val="1D1D1B"/>
          <w:kern w:val="0"/>
          <w:sz w:val="24"/>
          <w:szCs w:val="24"/>
          <w:lang w:eastAsia="es-UY"/>
          <w14:ligatures w14:val="none"/>
        </w:rPr>
        <w:t xml:space="preserve">. En un nivel intermedio se encuentran los que impulsa la Coordinadora Regional de Pueblos Indígenas de </w:t>
      </w:r>
      <w:proofErr w:type="spellStart"/>
      <w:r w:rsidRPr="009832FD">
        <w:rPr>
          <w:rFonts w:eastAsia="Times New Roman" w:cs="Times New Roman"/>
          <w:color w:val="1D1D1B"/>
          <w:kern w:val="0"/>
          <w:sz w:val="24"/>
          <w:szCs w:val="24"/>
          <w:lang w:eastAsia="es-UY"/>
          <w14:ligatures w14:val="none"/>
        </w:rPr>
        <w:t>Datem</w:t>
      </w:r>
      <w:proofErr w:type="spellEnd"/>
      <w:r w:rsidRPr="009832FD">
        <w:rPr>
          <w:rFonts w:eastAsia="Times New Roman" w:cs="Times New Roman"/>
          <w:color w:val="1D1D1B"/>
          <w:kern w:val="0"/>
          <w:sz w:val="24"/>
          <w:szCs w:val="24"/>
          <w:lang w:eastAsia="es-UY"/>
          <w14:ligatures w14:val="none"/>
        </w:rPr>
        <w:t xml:space="preserve"> y Alto Amazonas en el nororiente: los </w:t>
      </w:r>
      <w:proofErr w:type="spellStart"/>
      <w:r w:rsidRPr="009832FD">
        <w:rPr>
          <w:rFonts w:eastAsia="Times New Roman" w:cs="Times New Roman"/>
          <w:color w:val="1D1D1B"/>
          <w:kern w:val="0"/>
          <w:sz w:val="24"/>
          <w:szCs w:val="24"/>
          <w:lang w:eastAsia="es-UY"/>
          <w14:ligatures w14:val="none"/>
        </w:rPr>
        <w:fldChar w:fldCharType="begin"/>
      </w:r>
      <w:r w:rsidRPr="009832FD">
        <w:rPr>
          <w:rFonts w:eastAsia="Times New Roman" w:cs="Times New Roman"/>
          <w:color w:val="1D1D1B"/>
          <w:kern w:val="0"/>
          <w:sz w:val="24"/>
          <w:szCs w:val="24"/>
          <w:lang w:eastAsia="es-UY"/>
          <w14:ligatures w14:val="none"/>
        </w:rPr>
        <w:instrText>HYPERLINK "https://www.facebook.com/profile.php?id=100093314449193"</w:instrText>
      </w:r>
      <w:r w:rsidRPr="009832FD">
        <w:rPr>
          <w:rFonts w:eastAsia="Times New Roman" w:cs="Times New Roman"/>
          <w:color w:val="1D1D1B"/>
          <w:kern w:val="0"/>
          <w:sz w:val="24"/>
          <w:szCs w:val="24"/>
          <w:lang w:eastAsia="es-UY"/>
          <w14:ligatures w14:val="none"/>
        </w:rPr>
      </w:r>
      <w:r w:rsidRPr="009832FD">
        <w:rPr>
          <w:rFonts w:eastAsia="Times New Roman" w:cs="Times New Roman"/>
          <w:color w:val="1D1D1B"/>
          <w:kern w:val="0"/>
          <w:sz w:val="24"/>
          <w:szCs w:val="24"/>
          <w:lang w:eastAsia="es-UY"/>
          <w14:ligatures w14:val="none"/>
        </w:rPr>
        <w:fldChar w:fldCharType="separate"/>
      </w:r>
      <w:r w:rsidRPr="009832FD">
        <w:rPr>
          <w:rFonts w:eastAsia="Times New Roman" w:cs="Times New Roman"/>
          <w:color w:val="2B7AAA"/>
          <w:kern w:val="0"/>
          <w:sz w:val="24"/>
          <w:szCs w:val="24"/>
          <w:lang w:eastAsia="es-UY"/>
          <w14:ligatures w14:val="none"/>
        </w:rPr>
        <w:t>Shawi</w:t>
      </w:r>
      <w:proofErr w:type="spellEnd"/>
      <w:r w:rsidRPr="009832FD">
        <w:rPr>
          <w:rFonts w:eastAsia="Times New Roman" w:cs="Times New Roman"/>
          <w:color w:val="1D1D1B"/>
          <w:kern w:val="0"/>
          <w:sz w:val="24"/>
          <w:szCs w:val="24"/>
          <w:lang w:eastAsia="es-UY"/>
          <w14:ligatures w14:val="none"/>
        </w:rPr>
        <w:fldChar w:fldCharType="end"/>
      </w:r>
      <w:r w:rsidRPr="009832FD">
        <w:rPr>
          <w:rFonts w:eastAsia="Times New Roman" w:cs="Times New Roman"/>
          <w:color w:val="1D1D1B"/>
          <w:kern w:val="0"/>
          <w:sz w:val="24"/>
          <w:szCs w:val="24"/>
          <w:lang w:eastAsia="es-UY"/>
          <w14:ligatures w14:val="none"/>
        </w:rPr>
        <w:t xml:space="preserve">, </w:t>
      </w:r>
      <w:proofErr w:type="spellStart"/>
      <w:r w:rsidRPr="009832FD">
        <w:rPr>
          <w:rFonts w:eastAsia="Times New Roman" w:cs="Times New Roman"/>
          <w:color w:val="1D1D1B"/>
          <w:kern w:val="0"/>
          <w:sz w:val="24"/>
          <w:szCs w:val="24"/>
          <w:lang w:eastAsia="es-UY"/>
          <w14:ligatures w14:val="none"/>
        </w:rPr>
        <w:t>Kandozi</w:t>
      </w:r>
      <w:proofErr w:type="spellEnd"/>
      <w:r w:rsidRPr="009832FD">
        <w:rPr>
          <w:rFonts w:eastAsia="Times New Roman" w:cs="Times New Roman"/>
          <w:color w:val="1D1D1B"/>
          <w:kern w:val="0"/>
          <w:sz w:val="24"/>
          <w:szCs w:val="24"/>
          <w:lang w:eastAsia="es-UY"/>
          <w14:ligatures w14:val="none"/>
        </w:rPr>
        <w:t>, </w:t>
      </w:r>
      <w:proofErr w:type="spellStart"/>
      <w:r w:rsidRPr="009832FD">
        <w:rPr>
          <w:rFonts w:eastAsia="Times New Roman" w:cs="Times New Roman"/>
          <w:color w:val="1D1D1B"/>
          <w:kern w:val="0"/>
          <w:sz w:val="24"/>
          <w:szCs w:val="24"/>
          <w:lang w:eastAsia="es-UY"/>
          <w14:ligatures w14:val="none"/>
        </w:rPr>
        <w:fldChar w:fldCharType="begin"/>
      </w:r>
      <w:r w:rsidRPr="009832FD">
        <w:rPr>
          <w:rFonts w:eastAsia="Times New Roman" w:cs="Times New Roman"/>
          <w:color w:val="1D1D1B"/>
          <w:kern w:val="0"/>
          <w:sz w:val="24"/>
          <w:szCs w:val="24"/>
          <w:lang w:eastAsia="es-UY"/>
          <w14:ligatures w14:val="none"/>
        </w:rPr>
        <w:instrText>HYPERLINK "https://www.nacionchapra.org/"</w:instrText>
      </w:r>
      <w:r w:rsidRPr="009832FD">
        <w:rPr>
          <w:rFonts w:eastAsia="Times New Roman" w:cs="Times New Roman"/>
          <w:color w:val="1D1D1B"/>
          <w:kern w:val="0"/>
          <w:sz w:val="24"/>
          <w:szCs w:val="24"/>
          <w:lang w:eastAsia="es-UY"/>
          <w14:ligatures w14:val="none"/>
        </w:rPr>
      </w:r>
      <w:r w:rsidRPr="009832FD">
        <w:rPr>
          <w:rFonts w:eastAsia="Times New Roman" w:cs="Times New Roman"/>
          <w:color w:val="1D1D1B"/>
          <w:kern w:val="0"/>
          <w:sz w:val="24"/>
          <w:szCs w:val="24"/>
          <w:lang w:eastAsia="es-UY"/>
          <w14:ligatures w14:val="none"/>
        </w:rPr>
        <w:fldChar w:fldCharType="separate"/>
      </w:r>
      <w:r w:rsidRPr="009832FD">
        <w:rPr>
          <w:rFonts w:eastAsia="Times New Roman" w:cs="Times New Roman"/>
          <w:color w:val="2B7AAA"/>
          <w:kern w:val="0"/>
          <w:sz w:val="24"/>
          <w:szCs w:val="24"/>
          <w:lang w:eastAsia="es-UY"/>
          <w14:ligatures w14:val="none"/>
        </w:rPr>
        <w:t>Chapra</w:t>
      </w:r>
      <w:proofErr w:type="spellEnd"/>
      <w:r w:rsidRPr="009832FD">
        <w:rPr>
          <w:rFonts w:eastAsia="Times New Roman" w:cs="Times New Roman"/>
          <w:color w:val="1D1D1B"/>
          <w:kern w:val="0"/>
          <w:sz w:val="24"/>
          <w:szCs w:val="24"/>
          <w:lang w:eastAsia="es-UY"/>
          <w14:ligatures w14:val="none"/>
        </w:rPr>
        <w:fldChar w:fldCharType="end"/>
      </w:r>
      <w:r w:rsidRPr="009832FD">
        <w:rPr>
          <w:rFonts w:eastAsia="Times New Roman" w:cs="Times New Roman"/>
          <w:color w:val="1D1D1B"/>
          <w:kern w:val="0"/>
          <w:sz w:val="24"/>
          <w:szCs w:val="24"/>
          <w:lang w:eastAsia="es-UY"/>
          <w14:ligatures w14:val="none"/>
        </w:rPr>
        <w:t xml:space="preserve">, </w:t>
      </w:r>
      <w:proofErr w:type="spellStart"/>
      <w:r w:rsidRPr="009832FD">
        <w:rPr>
          <w:rFonts w:eastAsia="Times New Roman" w:cs="Times New Roman"/>
          <w:color w:val="1D1D1B"/>
          <w:kern w:val="0"/>
          <w:sz w:val="24"/>
          <w:szCs w:val="24"/>
          <w:lang w:eastAsia="es-UY"/>
          <w14:ligatures w14:val="none"/>
        </w:rPr>
        <w:t>Kukama</w:t>
      </w:r>
      <w:proofErr w:type="spellEnd"/>
      <w:r w:rsidRPr="009832FD">
        <w:rPr>
          <w:rFonts w:eastAsia="Times New Roman" w:cs="Times New Roman"/>
          <w:color w:val="1D1D1B"/>
          <w:kern w:val="0"/>
          <w:sz w:val="24"/>
          <w:szCs w:val="24"/>
          <w:lang w:eastAsia="es-UY"/>
          <w14:ligatures w14:val="none"/>
        </w:rPr>
        <w:t xml:space="preserve">, </w:t>
      </w:r>
      <w:proofErr w:type="spellStart"/>
      <w:r w:rsidRPr="009832FD">
        <w:rPr>
          <w:rFonts w:eastAsia="Times New Roman" w:cs="Times New Roman"/>
          <w:color w:val="1D1D1B"/>
          <w:kern w:val="0"/>
          <w:sz w:val="24"/>
          <w:szCs w:val="24"/>
          <w:lang w:eastAsia="es-UY"/>
          <w14:ligatures w14:val="none"/>
        </w:rPr>
        <w:t>Inka</w:t>
      </w:r>
      <w:proofErr w:type="spellEnd"/>
      <w:r w:rsidRPr="009832FD">
        <w:rPr>
          <w:rFonts w:eastAsia="Times New Roman" w:cs="Times New Roman"/>
          <w:color w:val="1D1D1B"/>
          <w:kern w:val="0"/>
          <w:sz w:val="24"/>
          <w:szCs w:val="24"/>
          <w:lang w:eastAsia="es-UY"/>
          <w14:ligatures w14:val="none"/>
        </w:rPr>
        <w:t xml:space="preserve"> del Pastaza y Shipibo </w:t>
      </w:r>
      <w:hyperlink r:id="rId7" w:history="1">
        <w:r w:rsidRPr="009832FD">
          <w:rPr>
            <w:rFonts w:eastAsia="Times New Roman" w:cs="Times New Roman"/>
            <w:color w:val="2B7AAA"/>
            <w:kern w:val="0"/>
            <w:sz w:val="24"/>
            <w:szCs w:val="24"/>
            <w:lang w:eastAsia="es-UY"/>
            <w14:ligatures w14:val="none"/>
          </w:rPr>
          <w:t>(</w:t>
        </w:r>
        <w:proofErr w:type="spellStart"/>
        <w:r w:rsidRPr="009832FD">
          <w:rPr>
            <w:rFonts w:eastAsia="Times New Roman" w:cs="Times New Roman"/>
            <w:color w:val="2B7AAA"/>
            <w:kern w:val="0"/>
            <w:sz w:val="24"/>
            <w:szCs w:val="24"/>
            <w:lang w:eastAsia="es-UY"/>
            <w14:ligatures w14:val="none"/>
          </w:rPr>
          <w:t>Coshicox</w:t>
        </w:r>
        <w:proofErr w:type="spellEnd"/>
        <w:r w:rsidRPr="009832FD">
          <w:rPr>
            <w:rFonts w:eastAsia="Times New Roman" w:cs="Times New Roman"/>
            <w:color w:val="2B7AAA"/>
            <w:kern w:val="0"/>
            <w:sz w:val="24"/>
            <w:szCs w:val="24"/>
            <w:lang w:eastAsia="es-UY"/>
            <w14:ligatures w14:val="none"/>
          </w:rPr>
          <w:t>)</w:t>
        </w:r>
      </w:hyperlink>
      <w:r w:rsidRPr="009832FD">
        <w:rPr>
          <w:rFonts w:eastAsia="Times New Roman" w:cs="Times New Roman"/>
          <w:color w:val="1D1D1B"/>
          <w:kern w:val="0"/>
          <w:sz w:val="24"/>
          <w:szCs w:val="24"/>
          <w:lang w:eastAsia="es-UY"/>
          <w14:ligatures w14:val="none"/>
        </w:rPr>
        <w:t xml:space="preserve">. Finalmente, en una etapa inicial están los Ese </w:t>
      </w:r>
      <w:proofErr w:type="spellStart"/>
      <w:r w:rsidRPr="009832FD">
        <w:rPr>
          <w:rFonts w:eastAsia="Times New Roman" w:cs="Times New Roman"/>
          <w:color w:val="1D1D1B"/>
          <w:kern w:val="0"/>
          <w:sz w:val="24"/>
          <w:szCs w:val="24"/>
          <w:lang w:eastAsia="es-UY"/>
          <w14:ligatures w14:val="none"/>
        </w:rPr>
        <w:t>Eja</w:t>
      </w:r>
      <w:proofErr w:type="spellEnd"/>
      <w:r w:rsidRPr="009832FD">
        <w:rPr>
          <w:rFonts w:eastAsia="Times New Roman" w:cs="Times New Roman"/>
          <w:color w:val="1D1D1B"/>
          <w:kern w:val="0"/>
          <w:sz w:val="24"/>
          <w:szCs w:val="24"/>
          <w:lang w:eastAsia="es-UY"/>
          <w14:ligatures w14:val="none"/>
        </w:rPr>
        <w:t xml:space="preserve">, </w:t>
      </w:r>
      <w:proofErr w:type="spellStart"/>
      <w:r w:rsidRPr="009832FD">
        <w:rPr>
          <w:rFonts w:eastAsia="Times New Roman" w:cs="Times New Roman"/>
          <w:color w:val="1D1D1B"/>
          <w:kern w:val="0"/>
          <w:sz w:val="24"/>
          <w:szCs w:val="24"/>
          <w:lang w:eastAsia="es-UY"/>
          <w14:ligatures w14:val="none"/>
        </w:rPr>
        <w:t>Arakbut</w:t>
      </w:r>
      <w:proofErr w:type="spellEnd"/>
      <w:r w:rsidRPr="009832FD">
        <w:rPr>
          <w:rFonts w:eastAsia="Times New Roman" w:cs="Times New Roman"/>
          <w:color w:val="1D1D1B"/>
          <w:kern w:val="0"/>
          <w:sz w:val="24"/>
          <w:szCs w:val="24"/>
          <w:lang w:eastAsia="es-UY"/>
          <w14:ligatures w14:val="none"/>
        </w:rPr>
        <w:t xml:space="preserve"> y </w:t>
      </w:r>
      <w:proofErr w:type="spellStart"/>
      <w:r w:rsidRPr="009832FD">
        <w:rPr>
          <w:rFonts w:eastAsia="Times New Roman" w:cs="Times New Roman"/>
          <w:color w:val="1D1D1B"/>
          <w:kern w:val="0"/>
          <w:sz w:val="24"/>
          <w:szCs w:val="24"/>
          <w:lang w:eastAsia="es-UY"/>
          <w14:ligatures w14:val="none"/>
        </w:rPr>
        <w:t>Matsiguenka</w:t>
      </w:r>
      <w:proofErr w:type="spellEnd"/>
      <w:r w:rsidRPr="009832FD">
        <w:rPr>
          <w:rFonts w:eastAsia="Times New Roman" w:cs="Times New Roman"/>
          <w:color w:val="1D1D1B"/>
          <w:kern w:val="0"/>
          <w:sz w:val="24"/>
          <w:szCs w:val="24"/>
          <w:lang w:eastAsia="es-UY"/>
          <w14:ligatures w14:val="none"/>
        </w:rPr>
        <w:t>. </w:t>
      </w:r>
    </w:p>
    <w:p w14:paraId="5F2A2E30"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Si bien la “autonomía” o el “autogobierno” es la forma más utilizada en las últimas dos últimas décadas, en verdad esta denominación continúa y madura una aspiración mucho más antigua de los pueblos indígenas. Una aspiración expresada en las intensas luchas territoriales e incluso, a modo de ilustración, en la experiencia del pueblo </w:t>
      </w:r>
      <w:proofErr w:type="spellStart"/>
      <w:r w:rsidRPr="009832FD">
        <w:rPr>
          <w:rFonts w:eastAsia="Times New Roman" w:cs="Times New Roman"/>
          <w:color w:val="1D1D1B"/>
          <w:kern w:val="0"/>
          <w:sz w:val="24"/>
          <w:szCs w:val="24"/>
          <w:lang w:eastAsia="es-UY"/>
          <w14:ligatures w14:val="none"/>
        </w:rPr>
        <w:t>Matsés</w:t>
      </w:r>
      <w:proofErr w:type="spellEnd"/>
      <w:r w:rsidRPr="009832FD">
        <w:rPr>
          <w:rFonts w:eastAsia="Times New Roman" w:cs="Times New Roman"/>
          <w:color w:val="1D1D1B"/>
          <w:kern w:val="0"/>
          <w:sz w:val="24"/>
          <w:szCs w:val="24"/>
          <w:lang w:eastAsia="es-UY"/>
          <w14:ligatures w14:val="none"/>
        </w:rPr>
        <w:t xml:space="preserve"> durante los años 70. Los </w:t>
      </w:r>
      <w:proofErr w:type="spellStart"/>
      <w:r w:rsidRPr="009832FD">
        <w:rPr>
          <w:rFonts w:eastAsia="Times New Roman" w:cs="Times New Roman"/>
          <w:color w:val="1D1D1B"/>
          <w:kern w:val="0"/>
          <w:sz w:val="24"/>
          <w:szCs w:val="24"/>
          <w:lang w:eastAsia="es-UY"/>
          <w14:ligatures w14:val="none"/>
        </w:rPr>
        <w:t>matsés</w:t>
      </w:r>
      <w:proofErr w:type="spellEnd"/>
      <w:r w:rsidRPr="009832FD">
        <w:rPr>
          <w:rFonts w:eastAsia="Times New Roman" w:cs="Times New Roman"/>
          <w:color w:val="1D1D1B"/>
          <w:kern w:val="0"/>
          <w:sz w:val="24"/>
          <w:szCs w:val="24"/>
          <w:lang w:eastAsia="es-UY"/>
          <w14:ligatures w14:val="none"/>
        </w:rPr>
        <w:t xml:space="preserve"> evitaron su división en pedazos comunales y mantuvieron su integridad colectiva como pueblo, </w:t>
      </w:r>
      <w:hyperlink r:id="rId8" w:tgtFrame="_blank" w:history="1">
        <w:r w:rsidRPr="009832FD">
          <w:rPr>
            <w:rFonts w:eastAsia="Times New Roman" w:cs="Times New Roman"/>
            <w:color w:val="2B7AAA"/>
            <w:kern w:val="0"/>
            <w:sz w:val="24"/>
            <w:szCs w:val="24"/>
            <w:lang w:eastAsia="es-UY"/>
            <w14:ligatures w14:val="none"/>
          </w:rPr>
          <w:t>en un solo gran título “comunal” de 452.735 hectáreas</w:t>
        </w:r>
      </w:hyperlink>
      <w:r w:rsidRPr="009832FD">
        <w:rPr>
          <w:rFonts w:eastAsia="Times New Roman" w:cs="Times New Roman"/>
          <w:color w:val="1D1D1B"/>
          <w:kern w:val="0"/>
          <w:sz w:val="24"/>
          <w:szCs w:val="24"/>
          <w:lang w:eastAsia="es-UY"/>
          <w14:ligatures w14:val="none"/>
        </w:rPr>
        <w:t>, y luego las sostuvieron, afrontando diversas imposiciones estatales.</w:t>
      </w:r>
    </w:p>
    <w:p w14:paraId="703AD85A"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Es en este largo proceso se inscribe el segundo encuentro del 6 al 7 octubre de 2023, entre AIDESEP y sus nueve organizaciones regionales asociadas </w:t>
      </w:r>
      <w:hyperlink r:id="rId9" w:history="1">
        <w:r w:rsidRPr="009832FD">
          <w:rPr>
            <w:rFonts w:eastAsia="Times New Roman" w:cs="Times New Roman"/>
            <w:color w:val="2B7AAA"/>
            <w:kern w:val="0"/>
            <w:sz w:val="24"/>
            <w:szCs w:val="24"/>
            <w:lang w:eastAsia="es-UY"/>
            <w14:ligatures w14:val="none"/>
          </w:rPr>
          <w:t>(que articulan 109 federaciones y 2400 comunidades)</w:t>
        </w:r>
      </w:hyperlink>
      <w:r w:rsidRPr="009832FD">
        <w:rPr>
          <w:rFonts w:eastAsia="Times New Roman" w:cs="Times New Roman"/>
          <w:color w:val="1D1D1B"/>
          <w:kern w:val="0"/>
          <w:sz w:val="24"/>
          <w:szCs w:val="24"/>
          <w:lang w:eastAsia="es-UY"/>
          <w14:ligatures w14:val="none"/>
        </w:rPr>
        <w:t>, junto con los gobiernos territoriales autónomos y la Coordinadora de Organizaciones Indígenas de la Cuenca Amazónica (COICA). En este encuentro se profundizaron acuerdos previos y se adoptaron tres resoluciones históricas referidas a la expansión de las autonomías a los 51 pueblos indígenas amazónicos, mediante la </w:t>
      </w:r>
      <w:hyperlink r:id="rId10" w:history="1">
        <w:r w:rsidRPr="009832FD">
          <w:rPr>
            <w:rFonts w:eastAsia="Times New Roman" w:cs="Times New Roman"/>
            <w:color w:val="2B7AAA"/>
            <w:kern w:val="0"/>
            <w:sz w:val="24"/>
            <w:szCs w:val="24"/>
            <w:lang w:eastAsia="es-UY"/>
            <w14:ligatures w14:val="none"/>
          </w:rPr>
          <w:t>Minga por Territorialidad, Titularidad y Autogobiernos por Pueblos Indígenas</w:t>
        </w:r>
      </w:hyperlink>
      <w:r w:rsidRPr="009832FD">
        <w:rPr>
          <w:rFonts w:eastAsia="Times New Roman" w:cs="Times New Roman"/>
          <w:color w:val="1D1D1B"/>
          <w:kern w:val="0"/>
          <w:sz w:val="24"/>
          <w:szCs w:val="24"/>
          <w:lang w:eastAsia="es-UY"/>
          <w14:ligatures w14:val="none"/>
        </w:rPr>
        <w:t>, un plan de acción y articulación.</w:t>
      </w:r>
    </w:p>
    <w:p w14:paraId="1C8AEAA3" w14:textId="77777777" w:rsidR="009832FD" w:rsidRPr="009832FD" w:rsidRDefault="009832FD" w:rsidP="009832FD">
      <w:pPr>
        <w:shd w:val="clear" w:color="auto" w:fill="FFFFFF"/>
        <w:spacing w:after="0"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noProof/>
          <w:color w:val="1D1D1B"/>
          <w:kern w:val="0"/>
          <w:sz w:val="24"/>
          <w:szCs w:val="24"/>
          <w:lang w:eastAsia="es-UY"/>
          <w14:ligatures w14:val="none"/>
        </w:rPr>
        <w:lastRenderedPageBreak/>
        <w:drawing>
          <wp:inline distT="0" distB="0" distL="0" distR="0" wp14:anchorId="1647129D" wp14:editId="05C086F5">
            <wp:extent cx="5156200" cy="3440824"/>
            <wp:effectExtent l="0" t="0" r="6350" b="7620"/>
            <wp:docPr id="1" name="Imagen 6" descr="Un grupo de personas en un sa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Un grupo de personas en un salón&#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0148" cy="3456805"/>
                    </a:xfrm>
                    <a:prstGeom prst="rect">
                      <a:avLst/>
                    </a:prstGeom>
                    <a:noFill/>
                    <a:ln>
                      <a:noFill/>
                    </a:ln>
                  </pic:spPr>
                </pic:pic>
              </a:graphicData>
            </a:graphic>
          </wp:inline>
        </w:drawing>
      </w:r>
      <w:r w:rsidRPr="009832FD">
        <w:rPr>
          <w:rFonts w:eastAsia="Times New Roman" w:cs="Times New Roman"/>
          <w:i/>
          <w:iCs/>
          <w:color w:val="1D1D1B"/>
          <w:kern w:val="0"/>
          <w:sz w:val="24"/>
          <w:szCs w:val="24"/>
          <w:lang w:eastAsia="es-UY"/>
          <w14:ligatures w14:val="none"/>
        </w:rPr>
        <w:t>Encuentro de la Asociación Interétnica de Desarrollo de la Selva Peruana para compartir las experiencias de los distintos gobiernos autonómicos.</w:t>
      </w:r>
      <w:r w:rsidRPr="009832FD">
        <w:rPr>
          <w:rFonts w:eastAsia="Times New Roman" w:cs="Times New Roman"/>
          <w:b/>
          <w:bCs/>
          <w:i/>
          <w:iCs/>
          <w:color w:val="1D1D1B"/>
          <w:kern w:val="0"/>
          <w:sz w:val="24"/>
          <w:szCs w:val="24"/>
          <w:lang w:eastAsia="es-UY"/>
          <w14:ligatures w14:val="none"/>
        </w:rPr>
        <w:t> Foto: </w:t>
      </w:r>
      <w:proofErr w:type="spellStart"/>
      <w:r w:rsidRPr="009832FD">
        <w:rPr>
          <w:rFonts w:eastAsia="Times New Roman" w:cs="Times New Roman"/>
          <w:i/>
          <w:iCs/>
          <w:color w:val="1D1D1B"/>
          <w:kern w:val="0"/>
          <w:sz w:val="24"/>
          <w:szCs w:val="24"/>
          <w:lang w:eastAsia="es-UY"/>
          <w14:ligatures w14:val="none"/>
        </w:rPr>
        <w:fldChar w:fldCharType="begin"/>
      </w:r>
      <w:r w:rsidRPr="009832FD">
        <w:rPr>
          <w:rFonts w:eastAsia="Times New Roman" w:cs="Times New Roman"/>
          <w:i/>
          <w:iCs/>
          <w:color w:val="1D1D1B"/>
          <w:kern w:val="0"/>
          <w:sz w:val="24"/>
          <w:szCs w:val="24"/>
          <w:lang w:eastAsia="es-UY"/>
          <w14:ligatures w14:val="none"/>
        </w:rPr>
        <w:instrText>HYPERLINK "https://www.servindi.org/actualidad-noticias/09/10/2023/minga-de-territorialidad-titularidad-y-autogobiernos-por-pueblos" \t "_blank"</w:instrText>
      </w:r>
      <w:r w:rsidRPr="009832FD">
        <w:rPr>
          <w:rFonts w:eastAsia="Times New Roman" w:cs="Times New Roman"/>
          <w:i/>
          <w:iCs/>
          <w:color w:val="1D1D1B"/>
          <w:kern w:val="0"/>
          <w:sz w:val="24"/>
          <w:szCs w:val="24"/>
          <w:lang w:eastAsia="es-UY"/>
          <w14:ligatures w14:val="none"/>
        </w:rPr>
      </w:r>
      <w:r w:rsidRPr="009832FD">
        <w:rPr>
          <w:rFonts w:eastAsia="Times New Roman" w:cs="Times New Roman"/>
          <w:i/>
          <w:iCs/>
          <w:color w:val="1D1D1B"/>
          <w:kern w:val="0"/>
          <w:sz w:val="24"/>
          <w:szCs w:val="24"/>
          <w:lang w:eastAsia="es-UY"/>
          <w14:ligatures w14:val="none"/>
        </w:rPr>
        <w:fldChar w:fldCharType="separate"/>
      </w:r>
      <w:r w:rsidRPr="009832FD">
        <w:rPr>
          <w:rFonts w:eastAsia="Times New Roman" w:cs="Times New Roman"/>
          <w:i/>
          <w:iCs/>
          <w:color w:val="2B7AAA"/>
          <w:kern w:val="0"/>
          <w:sz w:val="24"/>
          <w:szCs w:val="24"/>
          <w:lang w:eastAsia="es-UY"/>
          <w14:ligatures w14:val="none"/>
        </w:rPr>
        <w:t>Aidesep</w:t>
      </w:r>
      <w:proofErr w:type="spellEnd"/>
      <w:r w:rsidRPr="009832FD">
        <w:rPr>
          <w:rFonts w:eastAsia="Times New Roman" w:cs="Times New Roman"/>
          <w:i/>
          <w:iCs/>
          <w:color w:val="1D1D1B"/>
          <w:kern w:val="0"/>
          <w:sz w:val="24"/>
          <w:szCs w:val="24"/>
          <w:lang w:eastAsia="es-UY"/>
          <w14:ligatures w14:val="none"/>
        </w:rPr>
        <w:fldChar w:fldCharType="end"/>
      </w:r>
    </w:p>
    <w:p w14:paraId="18581F19" w14:textId="77777777" w:rsidR="009832FD" w:rsidRPr="009832FD" w:rsidRDefault="009832FD" w:rsidP="009832FD">
      <w:pPr>
        <w:shd w:val="clear" w:color="auto" w:fill="FFFFFF"/>
        <w:spacing w:after="100" w:afterAutospacing="1" w:line="240" w:lineRule="auto"/>
        <w:jc w:val="both"/>
        <w:outlineLvl w:val="2"/>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t>Interaprendizajes globales</w:t>
      </w:r>
    </w:p>
    <w:p w14:paraId="07ADB82F"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No se trata de un proceso aislado, exótico o marginal, sino que se extiende en todo el Abya Yala, África, Asia-Pacífico y hasta en la Europa </w:t>
      </w:r>
      <w:proofErr w:type="spellStart"/>
      <w:r w:rsidRPr="009832FD">
        <w:rPr>
          <w:rFonts w:eastAsia="Times New Roman" w:cs="Times New Roman"/>
          <w:color w:val="1D1D1B"/>
          <w:kern w:val="0"/>
          <w:sz w:val="24"/>
          <w:szCs w:val="24"/>
          <w:lang w:eastAsia="es-UY"/>
          <w14:ligatures w14:val="none"/>
        </w:rPr>
        <w:t>estadocéntrica</w:t>
      </w:r>
      <w:proofErr w:type="spellEnd"/>
      <w:r w:rsidRPr="009832FD">
        <w:rPr>
          <w:rFonts w:eastAsia="Times New Roman" w:cs="Times New Roman"/>
          <w:color w:val="1D1D1B"/>
          <w:kern w:val="0"/>
          <w:sz w:val="24"/>
          <w:szCs w:val="24"/>
          <w:lang w:eastAsia="es-UY"/>
          <w14:ligatures w14:val="none"/>
        </w:rPr>
        <w:t xml:space="preserve">. La demanda y ejercicio de hecho (y también de derecho) de otro tipo de </w:t>
      </w:r>
      <w:proofErr w:type="gramStart"/>
      <w:r w:rsidRPr="009832FD">
        <w:rPr>
          <w:rFonts w:eastAsia="Times New Roman" w:cs="Times New Roman"/>
          <w:color w:val="1D1D1B"/>
          <w:kern w:val="0"/>
          <w:sz w:val="24"/>
          <w:szCs w:val="24"/>
          <w:lang w:eastAsia="es-UY"/>
          <w14:ligatures w14:val="none"/>
        </w:rPr>
        <w:t>autoridad pública</w:t>
      </w:r>
      <w:proofErr w:type="gramEnd"/>
      <w:r w:rsidRPr="009832FD">
        <w:rPr>
          <w:rFonts w:eastAsia="Times New Roman" w:cs="Times New Roman"/>
          <w:color w:val="1D1D1B"/>
          <w:kern w:val="0"/>
          <w:sz w:val="24"/>
          <w:szCs w:val="24"/>
          <w:lang w:eastAsia="es-UY"/>
          <w14:ligatures w14:val="none"/>
        </w:rPr>
        <w:t>, colectiva, social no estatal corre paralelamente a la crisis de la civilización, la catástrofe climática y la descomposición del estado-centrismo eurocéntrico. Son respuestas sociales que abren tendencias y opciones rurales que también se proyectan en las ciudades.</w:t>
      </w:r>
    </w:p>
    <w:p w14:paraId="2E7F9C19"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La Amazonía peruana está inserta en ese interaprendizaje global de procesos autonómicos. Se aprende de las lecciones del reimpulso de ese camino. Entre los años 80 y 90, en el Ártico, el autogobierno de la Nación Inuit demostró su “viabilidad” en </w:t>
      </w:r>
      <w:hyperlink r:id="rId12" w:history="1">
        <w:r w:rsidRPr="009832FD">
          <w:rPr>
            <w:rFonts w:eastAsia="Times New Roman" w:cs="Times New Roman"/>
            <w:color w:val="2B7AAA"/>
            <w:kern w:val="0"/>
            <w:sz w:val="24"/>
            <w:szCs w:val="24"/>
            <w:lang w:eastAsia="es-UY"/>
            <w14:ligatures w14:val="none"/>
          </w:rPr>
          <w:t>Groenlandia</w:t>
        </w:r>
      </w:hyperlink>
      <w:r w:rsidRPr="009832FD">
        <w:rPr>
          <w:rFonts w:eastAsia="Times New Roman" w:cs="Times New Roman"/>
          <w:color w:val="1D1D1B"/>
          <w:kern w:val="0"/>
          <w:sz w:val="24"/>
          <w:szCs w:val="24"/>
          <w:lang w:eastAsia="es-UY"/>
          <w14:ligatures w14:val="none"/>
        </w:rPr>
        <w:t> y </w:t>
      </w:r>
      <w:hyperlink r:id="rId13" w:history="1">
        <w:r w:rsidRPr="009832FD">
          <w:rPr>
            <w:rFonts w:eastAsia="Times New Roman" w:cs="Times New Roman"/>
            <w:color w:val="2B7AAA"/>
            <w:kern w:val="0"/>
            <w:sz w:val="24"/>
            <w:szCs w:val="24"/>
            <w:lang w:eastAsia="es-UY"/>
            <w14:ligatures w14:val="none"/>
          </w:rPr>
          <w:t>Nunavut</w:t>
        </w:r>
      </w:hyperlink>
      <w:r w:rsidRPr="009832FD">
        <w:rPr>
          <w:rFonts w:eastAsia="Times New Roman" w:cs="Times New Roman"/>
          <w:color w:val="1D1D1B"/>
          <w:kern w:val="0"/>
          <w:sz w:val="24"/>
          <w:szCs w:val="24"/>
          <w:lang w:eastAsia="es-UY"/>
          <w14:ligatures w14:val="none"/>
        </w:rPr>
        <w:t>, ante Estados poderosos como Dinamarca y Canadá. También se aprende de la reconstitución territorial, el gobierno, el derecho y la economía propias del </w:t>
      </w:r>
      <w:hyperlink r:id="rId14" w:anchor=":~:text=Teniendo%20como%20principios%20la%20Unidad,La%20Cultura%20y%20la%20Autonom%C3%ADa." w:history="1">
        <w:r w:rsidRPr="009832FD">
          <w:rPr>
            <w:rFonts w:eastAsia="Times New Roman" w:cs="Times New Roman"/>
            <w:color w:val="2B7AAA"/>
            <w:kern w:val="0"/>
            <w:sz w:val="24"/>
            <w:szCs w:val="24"/>
            <w:lang w:eastAsia="es-UY"/>
            <w14:ligatures w14:val="none"/>
          </w:rPr>
          <w:t>Consejo Regional Indígena del Cauca (CRIC)</w:t>
        </w:r>
      </w:hyperlink>
      <w:r w:rsidRPr="009832FD">
        <w:rPr>
          <w:rFonts w:eastAsia="Times New Roman" w:cs="Times New Roman"/>
          <w:color w:val="1D1D1B"/>
          <w:kern w:val="0"/>
          <w:sz w:val="24"/>
          <w:szCs w:val="24"/>
          <w:lang w:eastAsia="es-UY"/>
          <w14:ligatures w14:val="none"/>
        </w:rPr>
        <w:t> de Colombia. O de la defensa indígena y el gobierno autónomo de los </w:t>
      </w:r>
      <w:proofErr w:type="spellStart"/>
      <w:r w:rsidRPr="009832FD">
        <w:rPr>
          <w:rFonts w:eastAsia="Times New Roman" w:cs="Times New Roman"/>
          <w:color w:val="1D1D1B"/>
          <w:kern w:val="0"/>
          <w:sz w:val="24"/>
          <w:szCs w:val="24"/>
          <w:lang w:eastAsia="es-UY"/>
          <w14:ligatures w14:val="none"/>
        </w:rPr>
        <w:fldChar w:fldCharType="begin"/>
      </w:r>
      <w:r w:rsidRPr="009832FD">
        <w:rPr>
          <w:rFonts w:eastAsia="Times New Roman" w:cs="Times New Roman"/>
          <w:color w:val="1D1D1B"/>
          <w:kern w:val="0"/>
          <w:sz w:val="24"/>
          <w:szCs w:val="24"/>
          <w:lang w:eastAsia="es-UY"/>
          <w14:ligatures w14:val="none"/>
        </w:rPr>
        <w:instrText>HYPERLINK "https://avispa.org/brasil-indigenas-kaapor-rompen-con-el-estado-y-crean-condiciones-para-su-autonomia/"</w:instrText>
      </w:r>
      <w:r w:rsidRPr="009832FD">
        <w:rPr>
          <w:rFonts w:eastAsia="Times New Roman" w:cs="Times New Roman"/>
          <w:color w:val="1D1D1B"/>
          <w:kern w:val="0"/>
          <w:sz w:val="24"/>
          <w:szCs w:val="24"/>
          <w:lang w:eastAsia="es-UY"/>
          <w14:ligatures w14:val="none"/>
        </w:rPr>
      </w:r>
      <w:r w:rsidRPr="009832FD">
        <w:rPr>
          <w:rFonts w:eastAsia="Times New Roman" w:cs="Times New Roman"/>
          <w:color w:val="1D1D1B"/>
          <w:kern w:val="0"/>
          <w:sz w:val="24"/>
          <w:szCs w:val="24"/>
          <w:lang w:eastAsia="es-UY"/>
          <w14:ligatures w14:val="none"/>
        </w:rPr>
        <w:fldChar w:fldCharType="separate"/>
      </w:r>
      <w:r w:rsidRPr="009832FD">
        <w:rPr>
          <w:rFonts w:eastAsia="Times New Roman" w:cs="Times New Roman"/>
          <w:color w:val="2B7AAA"/>
          <w:kern w:val="0"/>
          <w:sz w:val="24"/>
          <w:szCs w:val="24"/>
          <w:lang w:eastAsia="es-UY"/>
          <w14:ligatures w14:val="none"/>
        </w:rPr>
        <w:t>kaapor</w:t>
      </w:r>
      <w:proofErr w:type="spellEnd"/>
      <w:r w:rsidRPr="009832FD">
        <w:rPr>
          <w:rFonts w:eastAsia="Times New Roman" w:cs="Times New Roman"/>
          <w:color w:val="1D1D1B"/>
          <w:kern w:val="0"/>
          <w:sz w:val="24"/>
          <w:szCs w:val="24"/>
          <w:lang w:eastAsia="es-UY"/>
          <w14:ligatures w14:val="none"/>
        </w:rPr>
        <w:fldChar w:fldCharType="end"/>
      </w:r>
      <w:r w:rsidRPr="009832FD">
        <w:rPr>
          <w:rFonts w:eastAsia="Times New Roman" w:cs="Times New Roman"/>
          <w:color w:val="1D1D1B"/>
          <w:kern w:val="0"/>
          <w:sz w:val="24"/>
          <w:szCs w:val="24"/>
          <w:lang w:eastAsia="es-UY"/>
          <w14:ligatures w14:val="none"/>
        </w:rPr>
        <w:t>, ante la violencia de madereros y mineros, y la incapacidad estatal del Brasil para detenerlos.</w:t>
      </w:r>
    </w:p>
    <w:p w14:paraId="70942752" w14:textId="77777777" w:rsidR="009832FD" w:rsidRPr="009832FD" w:rsidRDefault="009832FD" w:rsidP="009832FD">
      <w:pPr>
        <w:shd w:val="clear" w:color="auto" w:fill="FFFFFF"/>
        <w:spacing w:after="100" w:line="240" w:lineRule="auto"/>
        <w:jc w:val="both"/>
        <w:rPr>
          <w:rFonts w:eastAsia="Times New Roman" w:cs="Times New Roman"/>
          <w:i/>
          <w:iCs/>
          <w:color w:val="2B7AAA"/>
          <w:kern w:val="0"/>
          <w:sz w:val="24"/>
          <w:szCs w:val="24"/>
          <w:lang w:eastAsia="es-UY"/>
          <w14:ligatures w14:val="none"/>
        </w:rPr>
      </w:pPr>
      <w:r w:rsidRPr="009832FD">
        <w:rPr>
          <w:rFonts w:eastAsia="Times New Roman" w:cs="Times New Roman"/>
          <w:i/>
          <w:iCs/>
          <w:color w:val="2B7AAA"/>
          <w:kern w:val="0"/>
          <w:sz w:val="24"/>
          <w:szCs w:val="24"/>
          <w:lang w:eastAsia="es-UY"/>
          <w14:ligatures w14:val="none"/>
        </w:rPr>
        <w:t>El pueblo Purépecha logró que el gobierno reconociera a sus autoridades locales y les transfiera el presupuesto municipal.</w:t>
      </w:r>
    </w:p>
    <w:p w14:paraId="7EB5767D"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Otro ejemplo también muy conocido para los autogobiernos es </w:t>
      </w:r>
      <w:hyperlink r:id="rId15" w:history="1">
        <w:r w:rsidRPr="009832FD">
          <w:rPr>
            <w:rFonts w:eastAsia="Times New Roman" w:cs="Times New Roman"/>
            <w:color w:val="2B7AAA"/>
            <w:kern w:val="0"/>
            <w:sz w:val="24"/>
            <w:szCs w:val="24"/>
            <w:lang w:eastAsia="es-UY"/>
            <w14:ligatures w14:val="none"/>
          </w:rPr>
          <w:t xml:space="preserve">la innovación </w:t>
        </w:r>
        <w:proofErr w:type="gramStart"/>
        <w:r w:rsidRPr="009832FD">
          <w:rPr>
            <w:rFonts w:eastAsia="Times New Roman" w:cs="Times New Roman"/>
            <w:color w:val="2B7AAA"/>
            <w:kern w:val="0"/>
            <w:sz w:val="24"/>
            <w:szCs w:val="24"/>
            <w:lang w:eastAsia="es-UY"/>
            <w14:ligatures w14:val="none"/>
          </w:rPr>
          <w:t>de los purépecha</w:t>
        </w:r>
        <w:proofErr w:type="gramEnd"/>
        <w:r w:rsidRPr="009832FD">
          <w:rPr>
            <w:rFonts w:eastAsia="Times New Roman" w:cs="Times New Roman"/>
            <w:color w:val="2B7AAA"/>
            <w:kern w:val="0"/>
            <w:sz w:val="24"/>
            <w:szCs w:val="24"/>
            <w:lang w:eastAsia="es-UY"/>
            <w14:ligatures w14:val="none"/>
          </w:rPr>
          <w:t xml:space="preserve"> de Cherán </w:t>
        </w:r>
        <w:proofErr w:type="spellStart"/>
        <w:r w:rsidRPr="009832FD">
          <w:rPr>
            <w:rFonts w:eastAsia="Times New Roman" w:cs="Times New Roman"/>
            <w:color w:val="2B7AAA"/>
            <w:kern w:val="0"/>
            <w:sz w:val="24"/>
            <w:szCs w:val="24"/>
            <w:lang w:eastAsia="es-UY"/>
            <w14:ligatures w14:val="none"/>
          </w:rPr>
          <w:t>Keri</w:t>
        </w:r>
        <w:proofErr w:type="spellEnd"/>
      </w:hyperlink>
      <w:r w:rsidRPr="009832FD">
        <w:rPr>
          <w:rFonts w:eastAsia="Times New Roman" w:cs="Times New Roman"/>
          <w:color w:val="1D1D1B"/>
          <w:kern w:val="0"/>
          <w:sz w:val="24"/>
          <w:szCs w:val="24"/>
          <w:lang w:eastAsia="es-UY"/>
          <w14:ligatures w14:val="none"/>
        </w:rPr>
        <w:t xml:space="preserve">, en Michoacán, que erradicaron mafias madereras y la corrupción político-estatal mediante el autocontrol territorial. El pueblo Purépecha cerró el municipio, expulsó a todos los partidos políticos, recuperó su estructura de autogobierno comunitario y de manejo del bosque, agua, educación e industria. </w:t>
      </w:r>
      <w:r w:rsidRPr="009832FD">
        <w:rPr>
          <w:rFonts w:eastAsia="Times New Roman" w:cs="Times New Roman"/>
          <w:color w:val="1D1D1B"/>
          <w:kern w:val="0"/>
          <w:sz w:val="24"/>
          <w:szCs w:val="24"/>
          <w:lang w:eastAsia="es-UY"/>
          <w14:ligatures w14:val="none"/>
        </w:rPr>
        <w:lastRenderedPageBreak/>
        <w:t>De este modo, logró que el gobierno reconociera a sus autoridades locales y les transfiera el presupuesto municipal.</w:t>
      </w:r>
    </w:p>
    <w:p w14:paraId="128F8370"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Asistimos a un nuevo nivel, cuando Naciones Unidas señaló como tema del Foro Permanente para las Cuestiones Indígenas de 2024 a la libre determinación y autogobiernos en el mundo, y el informe del Consejo Económico y Social (</w:t>
      </w:r>
      <w:proofErr w:type="spellStart"/>
      <w:r w:rsidRPr="009832FD">
        <w:rPr>
          <w:rFonts w:eastAsia="Times New Roman" w:cs="Times New Roman"/>
          <w:color w:val="1D1D1B"/>
          <w:kern w:val="0"/>
          <w:sz w:val="24"/>
          <w:szCs w:val="24"/>
          <w:lang w:eastAsia="es-UY"/>
          <w14:ligatures w14:val="none"/>
        </w:rPr>
        <w:t>Ecosoc</w:t>
      </w:r>
      <w:proofErr w:type="spellEnd"/>
      <w:r w:rsidRPr="009832FD">
        <w:rPr>
          <w:rFonts w:eastAsia="Times New Roman" w:cs="Times New Roman"/>
          <w:color w:val="1D1D1B"/>
          <w:kern w:val="0"/>
          <w:sz w:val="24"/>
          <w:szCs w:val="24"/>
          <w:lang w:eastAsia="es-UY"/>
          <w14:ligatures w14:val="none"/>
        </w:rPr>
        <w:t>) de la Organización de las Naciones Unidas para ese debate sustancial, sintetiza procesos y Principios Rectores para su implementación. Abarca incluso experiencias urbanas, ya sea con población indígena o no, como </w:t>
      </w:r>
      <w:hyperlink r:id="rId16" w:history="1">
        <w:r w:rsidRPr="009832FD">
          <w:rPr>
            <w:rFonts w:eastAsia="Times New Roman" w:cs="Times New Roman"/>
            <w:color w:val="2B7AAA"/>
            <w:kern w:val="0"/>
            <w:sz w:val="24"/>
            <w:szCs w:val="24"/>
            <w:lang w:eastAsia="es-UY"/>
            <w14:ligatures w14:val="none"/>
          </w:rPr>
          <w:t xml:space="preserve">la Cooperativa de Vivienda </w:t>
        </w:r>
        <w:proofErr w:type="spellStart"/>
        <w:r w:rsidRPr="009832FD">
          <w:rPr>
            <w:rFonts w:eastAsia="Times New Roman" w:cs="Times New Roman"/>
            <w:color w:val="2B7AAA"/>
            <w:kern w:val="0"/>
            <w:sz w:val="24"/>
            <w:szCs w:val="24"/>
            <w:lang w:eastAsia="es-UY"/>
            <w14:ligatures w14:val="none"/>
          </w:rPr>
          <w:t>Acapatzingo</w:t>
        </w:r>
        <w:proofErr w:type="spellEnd"/>
      </w:hyperlink>
      <w:r w:rsidRPr="009832FD">
        <w:rPr>
          <w:rFonts w:eastAsia="Times New Roman" w:cs="Times New Roman"/>
          <w:color w:val="1D1D1B"/>
          <w:kern w:val="0"/>
          <w:sz w:val="24"/>
          <w:szCs w:val="24"/>
          <w:lang w:eastAsia="es-UY"/>
          <w14:ligatures w14:val="none"/>
        </w:rPr>
        <w:t> en Ciudad de México o </w:t>
      </w:r>
      <w:hyperlink r:id="rId17" w:history="1">
        <w:r w:rsidRPr="009832FD">
          <w:rPr>
            <w:rFonts w:eastAsia="Times New Roman" w:cs="Times New Roman"/>
            <w:color w:val="2B7AAA"/>
            <w:kern w:val="0"/>
            <w:sz w:val="24"/>
            <w:szCs w:val="24"/>
            <w:lang w:eastAsia="es-UY"/>
            <w14:ligatures w14:val="none"/>
          </w:rPr>
          <w:t xml:space="preserve">las comunas organizadas alrededor del Pueblo </w:t>
        </w:r>
        <w:proofErr w:type="spellStart"/>
        <w:r w:rsidRPr="009832FD">
          <w:rPr>
            <w:rFonts w:eastAsia="Times New Roman" w:cs="Times New Roman"/>
            <w:color w:val="2B7AAA"/>
            <w:kern w:val="0"/>
            <w:sz w:val="24"/>
            <w:szCs w:val="24"/>
            <w:lang w:eastAsia="es-UY"/>
            <w14:ligatures w14:val="none"/>
          </w:rPr>
          <w:t>Kitu</w:t>
        </w:r>
        <w:proofErr w:type="spellEnd"/>
        <w:r w:rsidRPr="009832FD">
          <w:rPr>
            <w:rFonts w:eastAsia="Times New Roman" w:cs="Times New Roman"/>
            <w:color w:val="2B7AAA"/>
            <w:kern w:val="0"/>
            <w:sz w:val="24"/>
            <w:szCs w:val="24"/>
            <w:lang w:eastAsia="es-UY"/>
            <w14:ligatures w14:val="none"/>
          </w:rPr>
          <w:t xml:space="preserve"> Kara</w:t>
        </w:r>
      </w:hyperlink>
      <w:r w:rsidRPr="009832FD">
        <w:rPr>
          <w:rFonts w:eastAsia="Times New Roman" w:cs="Times New Roman"/>
          <w:color w:val="1D1D1B"/>
          <w:kern w:val="0"/>
          <w:sz w:val="24"/>
          <w:szCs w:val="24"/>
          <w:lang w:eastAsia="es-UY"/>
          <w14:ligatures w14:val="none"/>
        </w:rPr>
        <w:t> asentadas en las periferias de la ciudad de Quito.</w:t>
      </w:r>
    </w:p>
    <w:p w14:paraId="26B21410" w14:textId="77777777" w:rsidR="009832FD" w:rsidRDefault="009832FD" w:rsidP="009832FD">
      <w:pPr>
        <w:shd w:val="clear" w:color="auto" w:fill="FFFFFF"/>
        <w:spacing w:after="0" w:line="240" w:lineRule="auto"/>
        <w:jc w:val="both"/>
        <w:rPr>
          <w:rFonts w:eastAsia="Times New Roman" w:cs="Times New Roman"/>
          <w:i/>
          <w:iCs/>
          <w:color w:val="1D1D1B"/>
          <w:kern w:val="0"/>
          <w:sz w:val="24"/>
          <w:szCs w:val="24"/>
          <w:lang w:eastAsia="es-UY"/>
          <w14:ligatures w14:val="none"/>
        </w:rPr>
      </w:pPr>
      <w:r w:rsidRPr="009832FD">
        <w:rPr>
          <w:rFonts w:eastAsia="Times New Roman" w:cs="Times New Roman"/>
          <w:noProof/>
          <w:color w:val="1D1D1B"/>
          <w:kern w:val="0"/>
          <w:sz w:val="24"/>
          <w:szCs w:val="24"/>
          <w:lang w:eastAsia="es-UY"/>
          <w14:ligatures w14:val="none"/>
        </w:rPr>
        <w:drawing>
          <wp:inline distT="0" distB="0" distL="0" distR="0" wp14:anchorId="4043D5FD" wp14:editId="6F53D3B8">
            <wp:extent cx="5467374" cy="2851150"/>
            <wp:effectExtent l="0" t="0" r="0" b="6350"/>
            <wp:docPr id="2" name="Imagen 5" descr="Multitud de person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Multitud de personas&#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5949" cy="2855622"/>
                    </a:xfrm>
                    <a:prstGeom prst="rect">
                      <a:avLst/>
                    </a:prstGeom>
                    <a:noFill/>
                    <a:ln>
                      <a:noFill/>
                    </a:ln>
                  </pic:spPr>
                </pic:pic>
              </a:graphicData>
            </a:graphic>
          </wp:inline>
        </w:drawing>
      </w:r>
      <w:r w:rsidRPr="009832FD">
        <w:rPr>
          <w:rFonts w:eastAsia="Times New Roman" w:cs="Times New Roman"/>
          <w:i/>
          <w:iCs/>
          <w:color w:val="1D1D1B"/>
          <w:kern w:val="0"/>
          <w:sz w:val="24"/>
          <w:szCs w:val="24"/>
          <w:lang w:eastAsia="es-UY"/>
          <w14:ligatures w14:val="none"/>
        </w:rPr>
        <w:t>Cumbre de pueblos indígenas en Colombia. El Consejo Regional Indígena del Cauca (CRIC) aporta enseñanzas sobre la reconstitución territorial y el autogobierno. </w:t>
      </w:r>
      <w:r w:rsidRPr="009832FD">
        <w:rPr>
          <w:rFonts w:eastAsia="Times New Roman" w:cs="Times New Roman"/>
          <w:b/>
          <w:bCs/>
          <w:i/>
          <w:iCs/>
          <w:color w:val="1D1D1B"/>
          <w:kern w:val="0"/>
          <w:sz w:val="24"/>
          <w:szCs w:val="24"/>
          <w:lang w:eastAsia="es-UY"/>
          <w14:ligatures w14:val="none"/>
        </w:rPr>
        <w:t>Foto: </w:t>
      </w:r>
      <w:hyperlink r:id="rId19" w:tgtFrame="_blank" w:history="1">
        <w:r w:rsidRPr="009832FD">
          <w:rPr>
            <w:rFonts w:eastAsia="Times New Roman" w:cs="Times New Roman"/>
            <w:i/>
            <w:iCs/>
            <w:color w:val="2B7AAA"/>
            <w:kern w:val="0"/>
            <w:sz w:val="24"/>
            <w:szCs w:val="24"/>
            <w:lang w:eastAsia="es-UY"/>
            <w14:ligatures w14:val="none"/>
          </w:rPr>
          <w:t>Mauricio Martínez</w:t>
        </w:r>
      </w:hyperlink>
    </w:p>
    <w:p w14:paraId="36BCF58A" w14:textId="77777777" w:rsidR="009832FD" w:rsidRPr="009832FD" w:rsidRDefault="009832FD" w:rsidP="009832FD">
      <w:pPr>
        <w:shd w:val="clear" w:color="auto" w:fill="FFFFFF"/>
        <w:spacing w:after="0" w:line="240" w:lineRule="auto"/>
        <w:jc w:val="both"/>
        <w:rPr>
          <w:rFonts w:eastAsia="Times New Roman" w:cs="Times New Roman"/>
          <w:color w:val="1D1D1B"/>
          <w:kern w:val="0"/>
          <w:sz w:val="24"/>
          <w:szCs w:val="24"/>
          <w:lang w:eastAsia="es-UY"/>
          <w14:ligatures w14:val="none"/>
        </w:rPr>
      </w:pPr>
    </w:p>
    <w:p w14:paraId="18B88261" w14:textId="77777777" w:rsidR="009832FD" w:rsidRPr="009832FD" w:rsidRDefault="009832FD" w:rsidP="009832FD">
      <w:pPr>
        <w:shd w:val="clear" w:color="auto" w:fill="FFFFFF"/>
        <w:spacing w:after="100" w:afterAutospacing="1" w:line="240" w:lineRule="auto"/>
        <w:jc w:val="both"/>
        <w:outlineLvl w:val="2"/>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t>Cuando el racismo extractivista impulsa el autogobierno</w:t>
      </w:r>
    </w:p>
    <w:p w14:paraId="796E9189"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La autonomía es intrínseca al orgullo cultural e historia de cada pueblo amazónico. Si bien esta tendencia (y opción) es sometida a presiones y distracciones, sigue latente y emerge con oscilaciones según los procesos sociales. La autonomía surge cuando el Estado desnaturaliza y frena la titulación comunitaria. En Perú, comenzó a crecer en 1993, cuando la dictadura fujimorista eliminó los derechos constitucionales de carácter “inalienable e inembargable” de dichos territorios. Y creció cuando los siguientes gobiernos insistieron en una dictadura extractivista con divisionismos y represión. </w:t>
      </w:r>
    </w:p>
    <w:p w14:paraId="21D22DDB"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Los reclamos de autonomía resurgieron cuando el título comunal dejó afuera sus territorios ancestrales y los tergiversó como “de libre disponibilidad”. Siguió creciendo, ante la frustración de las reservas comunales, donde el Estado es el primero en no respetar su régimen legal especial. También se incrementó con la violencia racista de Sendero Luminoso y el Movimiento Revolucionario Túpac </w:t>
      </w:r>
      <w:r w:rsidRPr="009832FD">
        <w:rPr>
          <w:rFonts w:eastAsia="Times New Roman" w:cs="Times New Roman"/>
          <w:color w:val="1D1D1B"/>
          <w:kern w:val="0"/>
          <w:sz w:val="24"/>
          <w:szCs w:val="24"/>
          <w:lang w:eastAsia="es-UY"/>
          <w14:ligatures w14:val="none"/>
        </w:rPr>
        <w:lastRenderedPageBreak/>
        <w:t>Amaru (MRTA), que los obligó a crear sus defensas indígenas autónomas. Y sigue hoy, ante la violencia extractivista de la madera, los hidrocarburos, la minería, los monocultivos y el narcotráfico. Y con la impunidad por la matanza de 30 defensores territoriales indígenas.</w:t>
      </w:r>
    </w:p>
    <w:p w14:paraId="1735F26B" w14:textId="77777777" w:rsidR="009832FD" w:rsidRPr="009832FD" w:rsidRDefault="009832FD" w:rsidP="009832FD">
      <w:pPr>
        <w:shd w:val="clear" w:color="auto" w:fill="FFFFFF"/>
        <w:spacing w:after="100" w:line="240" w:lineRule="auto"/>
        <w:jc w:val="both"/>
        <w:rPr>
          <w:rFonts w:eastAsia="Times New Roman" w:cs="Times New Roman"/>
          <w:i/>
          <w:iCs/>
          <w:color w:val="2B7AAA"/>
          <w:kern w:val="0"/>
          <w:sz w:val="24"/>
          <w:szCs w:val="24"/>
          <w:lang w:eastAsia="es-UY"/>
          <w14:ligatures w14:val="none"/>
        </w:rPr>
      </w:pPr>
      <w:r w:rsidRPr="009832FD">
        <w:rPr>
          <w:rFonts w:eastAsia="Times New Roman" w:cs="Times New Roman"/>
          <w:i/>
          <w:iCs/>
          <w:color w:val="2B7AAA"/>
          <w:kern w:val="0"/>
          <w:sz w:val="24"/>
          <w:szCs w:val="24"/>
          <w:lang w:eastAsia="es-UY"/>
          <w14:ligatures w14:val="none"/>
        </w:rPr>
        <w:t xml:space="preserve">Ante la agresión del </w:t>
      </w:r>
      <w:proofErr w:type="spellStart"/>
      <w:r w:rsidRPr="009832FD">
        <w:rPr>
          <w:rFonts w:eastAsia="Times New Roman" w:cs="Times New Roman"/>
          <w:i/>
          <w:iCs/>
          <w:color w:val="2B7AAA"/>
          <w:kern w:val="0"/>
          <w:sz w:val="24"/>
          <w:szCs w:val="24"/>
          <w:lang w:eastAsia="es-UY"/>
          <w14:ligatures w14:val="none"/>
        </w:rPr>
        <w:t>extractivismo</w:t>
      </w:r>
      <w:proofErr w:type="spellEnd"/>
      <w:r w:rsidRPr="009832FD">
        <w:rPr>
          <w:rFonts w:eastAsia="Times New Roman" w:cs="Times New Roman"/>
          <w:i/>
          <w:iCs/>
          <w:color w:val="2B7AAA"/>
          <w:kern w:val="0"/>
          <w:sz w:val="24"/>
          <w:szCs w:val="24"/>
          <w:lang w:eastAsia="es-UY"/>
          <w14:ligatures w14:val="none"/>
        </w:rPr>
        <w:t xml:space="preserve"> y la farsa de las consultas previas, no es casual que las autonomías indígenas asuman que las decisiones deben ser adoptadas por la autoridad colectiva de los mismos pueblos y naciones.</w:t>
      </w:r>
    </w:p>
    <w:p w14:paraId="0BA1ADC5"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Con su opresión y permisividad a las violencias extractivistas, el Estado peruano impulsa la autonomía y la incrementa con la descomposición estatal, la persistente corrupción, el abandono de las regiones amazónicas, la represión de las comunidades y la inutilidad de sus funcionarios. Si el Estado-Nación está en </w:t>
      </w:r>
      <w:proofErr w:type="spellStart"/>
      <w:r w:rsidRPr="009832FD">
        <w:rPr>
          <w:rFonts w:eastAsia="Times New Roman" w:cs="Times New Roman"/>
          <w:color w:val="1D1D1B"/>
          <w:kern w:val="0"/>
          <w:sz w:val="24"/>
          <w:szCs w:val="24"/>
          <w:lang w:eastAsia="es-UY"/>
          <w14:ligatures w14:val="none"/>
        </w:rPr>
        <w:t>des-institucionalización</w:t>
      </w:r>
      <w:proofErr w:type="spellEnd"/>
      <w:r w:rsidRPr="009832FD">
        <w:rPr>
          <w:rFonts w:eastAsia="Times New Roman" w:cs="Times New Roman"/>
          <w:color w:val="1D1D1B"/>
          <w:kern w:val="0"/>
          <w:sz w:val="24"/>
          <w:szCs w:val="24"/>
          <w:lang w:eastAsia="es-UY"/>
          <w14:ligatures w14:val="none"/>
        </w:rPr>
        <w:t xml:space="preserve"> y la </w:t>
      </w:r>
      <w:proofErr w:type="spellStart"/>
      <w:r w:rsidRPr="009832FD">
        <w:rPr>
          <w:rFonts w:eastAsia="Times New Roman" w:cs="Times New Roman"/>
          <w:color w:val="1D1D1B"/>
          <w:kern w:val="0"/>
          <w:sz w:val="24"/>
          <w:szCs w:val="24"/>
          <w:lang w:eastAsia="es-UY"/>
          <w14:ligatures w14:val="none"/>
        </w:rPr>
        <w:t>colonialidad</w:t>
      </w:r>
      <w:proofErr w:type="spellEnd"/>
      <w:r w:rsidRPr="009832FD">
        <w:rPr>
          <w:rFonts w:eastAsia="Times New Roman" w:cs="Times New Roman"/>
          <w:color w:val="1D1D1B"/>
          <w:kern w:val="0"/>
          <w:sz w:val="24"/>
          <w:szCs w:val="24"/>
          <w:lang w:eastAsia="es-UY"/>
          <w14:ligatures w14:val="none"/>
        </w:rPr>
        <w:t xml:space="preserve"> del poder racista se torna extrema, cada pueblo amazónico, a su ritmo y propio modo, podría ir tomando decisiones para hacerse cargo de su sobrevivencia, sus bosques y sus selvas. </w:t>
      </w:r>
    </w:p>
    <w:p w14:paraId="54940933"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Por ello, ante la agresión del </w:t>
      </w:r>
      <w:proofErr w:type="spellStart"/>
      <w:r w:rsidRPr="009832FD">
        <w:rPr>
          <w:rFonts w:eastAsia="Times New Roman" w:cs="Times New Roman"/>
          <w:color w:val="1D1D1B"/>
          <w:kern w:val="0"/>
          <w:sz w:val="24"/>
          <w:szCs w:val="24"/>
          <w:lang w:eastAsia="es-UY"/>
          <w14:ligatures w14:val="none"/>
        </w:rPr>
        <w:t>extractivismo</w:t>
      </w:r>
      <w:proofErr w:type="spellEnd"/>
      <w:r w:rsidRPr="009832FD">
        <w:rPr>
          <w:rFonts w:eastAsia="Times New Roman" w:cs="Times New Roman"/>
          <w:color w:val="1D1D1B"/>
          <w:kern w:val="0"/>
          <w:sz w:val="24"/>
          <w:szCs w:val="24"/>
          <w:lang w:eastAsia="es-UY"/>
          <w14:ligatures w14:val="none"/>
        </w:rPr>
        <w:t xml:space="preserve"> y la farsa de las consultas previas que excluyen el consentimiento de las comunidades, no es casual que las autonomías indígenas asuman que las decisiones deben ser adoptadas por la autoridad colectiva de los mismos pueblos y naciones. En efecto, el artículo 7 del Convenio 169 de la OIT señala que tienen derecho a decidir y controlar su propio tipo de desarrollo: desde la defensa de las selvas hasta </w:t>
      </w:r>
      <w:hyperlink r:id="rId20" w:tgtFrame="_blank" w:history="1">
        <w:r w:rsidRPr="009832FD">
          <w:rPr>
            <w:rFonts w:eastAsia="Times New Roman" w:cs="Times New Roman"/>
            <w:color w:val="2B7AAA"/>
            <w:kern w:val="0"/>
            <w:sz w:val="24"/>
            <w:szCs w:val="24"/>
            <w:lang w:eastAsia="es-UY"/>
            <w14:ligatures w14:val="none"/>
          </w:rPr>
          <w:t>la movilización frente a la minería aurífera</w:t>
        </w:r>
      </w:hyperlink>
      <w:r w:rsidRPr="009832FD">
        <w:rPr>
          <w:rFonts w:eastAsia="Times New Roman" w:cs="Times New Roman"/>
          <w:color w:val="1D1D1B"/>
          <w:kern w:val="0"/>
          <w:sz w:val="24"/>
          <w:szCs w:val="24"/>
          <w:lang w:eastAsia="es-UY"/>
          <w14:ligatures w14:val="none"/>
        </w:rPr>
        <w:t> y </w:t>
      </w:r>
      <w:hyperlink r:id="rId21" w:history="1">
        <w:r w:rsidRPr="009832FD">
          <w:rPr>
            <w:rFonts w:eastAsia="Times New Roman" w:cs="Times New Roman"/>
            <w:color w:val="2B7AAA"/>
            <w:kern w:val="0"/>
            <w:sz w:val="24"/>
            <w:szCs w:val="24"/>
            <w:lang w:eastAsia="es-UY"/>
            <w14:ligatures w14:val="none"/>
          </w:rPr>
          <w:t>la contaminación por hidrocarburos</w:t>
        </w:r>
      </w:hyperlink>
      <w:r w:rsidRPr="009832FD">
        <w:rPr>
          <w:rFonts w:eastAsia="Times New Roman" w:cs="Times New Roman"/>
          <w:color w:val="1D1D1B"/>
          <w:kern w:val="0"/>
          <w:sz w:val="24"/>
          <w:szCs w:val="24"/>
          <w:lang w:eastAsia="es-UY"/>
          <w14:ligatures w14:val="none"/>
        </w:rPr>
        <w:t> que amenazan sus vidas.</w:t>
      </w:r>
    </w:p>
    <w:p w14:paraId="4E31D0EE" w14:textId="77777777" w:rsidR="009832FD" w:rsidRDefault="009832FD" w:rsidP="009832FD">
      <w:pPr>
        <w:shd w:val="clear" w:color="auto" w:fill="FFFFFF"/>
        <w:spacing w:after="0" w:line="240" w:lineRule="auto"/>
        <w:jc w:val="both"/>
        <w:rPr>
          <w:rFonts w:eastAsia="Times New Roman" w:cs="Times New Roman"/>
          <w:i/>
          <w:iCs/>
          <w:color w:val="1D1D1B"/>
          <w:kern w:val="0"/>
          <w:sz w:val="24"/>
          <w:szCs w:val="24"/>
          <w:lang w:eastAsia="es-UY"/>
          <w14:ligatures w14:val="none"/>
        </w:rPr>
      </w:pPr>
      <w:r w:rsidRPr="009832FD">
        <w:rPr>
          <w:rFonts w:eastAsia="Times New Roman" w:cs="Times New Roman"/>
          <w:noProof/>
          <w:color w:val="1D1D1B"/>
          <w:kern w:val="0"/>
          <w:sz w:val="24"/>
          <w:szCs w:val="24"/>
          <w:lang w:eastAsia="es-UY"/>
          <w14:ligatures w14:val="none"/>
        </w:rPr>
        <w:drawing>
          <wp:inline distT="0" distB="0" distL="0" distR="0" wp14:anchorId="7A68C769" wp14:editId="35701575">
            <wp:extent cx="5314950" cy="3249178"/>
            <wp:effectExtent l="0" t="0" r="0" b="8890"/>
            <wp:docPr id="3" name="Imagen 4" descr="Un grupo de personas haciendo ges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Un grupo de personas haciendo gestos&#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21501" cy="3253183"/>
                    </a:xfrm>
                    <a:prstGeom prst="rect">
                      <a:avLst/>
                    </a:prstGeom>
                    <a:noFill/>
                    <a:ln>
                      <a:noFill/>
                    </a:ln>
                  </pic:spPr>
                </pic:pic>
              </a:graphicData>
            </a:graphic>
          </wp:inline>
        </w:drawing>
      </w:r>
      <w:r w:rsidRPr="009832FD">
        <w:rPr>
          <w:rFonts w:eastAsia="Times New Roman" w:cs="Times New Roman"/>
          <w:i/>
          <w:iCs/>
          <w:color w:val="1D1D1B"/>
          <w:kern w:val="0"/>
          <w:sz w:val="24"/>
          <w:szCs w:val="24"/>
          <w:lang w:eastAsia="es-UY"/>
          <w14:ligatures w14:val="none"/>
        </w:rPr>
        <w:t xml:space="preserve">En Perú, el pueblo </w:t>
      </w:r>
      <w:proofErr w:type="spellStart"/>
      <w:r w:rsidRPr="009832FD">
        <w:rPr>
          <w:rFonts w:eastAsia="Times New Roman" w:cs="Times New Roman"/>
          <w:i/>
          <w:iCs/>
          <w:color w:val="1D1D1B"/>
          <w:kern w:val="0"/>
          <w:sz w:val="24"/>
          <w:szCs w:val="24"/>
          <w:lang w:eastAsia="es-UY"/>
          <w14:ligatures w14:val="none"/>
        </w:rPr>
        <w:t>Ashaninka</w:t>
      </w:r>
      <w:proofErr w:type="spellEnd"/>
      <w:r w:rsidRPr="009832FD">
        <w:rPr>
          <w:rFonts w:eastAsia="Times New Roman" w:cs="Times New Roman"/>
          <w:i/>
          <w:iCs/>
          <w:color w:val="1D1D1B"/>
          <w:kern w:val="0"/>
          <w:sz w:val="24"/>
          <w:szCs w:val="24"/>
          <w:lang w:eastAsia="es-UY"/>
          <w14:ligatures w14:val="none"/>
        </w:rPr>
        <w:t xml:space="preserve"> enfrentó la violencia racista de Sendero Luminoso y el Movimiento Revolucionario Túpac Amaru (MRTA). </w:t>
      </w:r>
      <w:r w:rsidRPr="009832FD">
        <w:rPr>
          <w:rFonts w:eastAsia="Times New Roman" w:cs="Times New Roman"/>
          <w:b/>
          <w:bCs/>
          <w:i/>
          <w:iCs/>
          <w:color w:val="1D1D1B"/>
          <w:kern w:val="0"/>
          <w:sz w:val="24"/>
          <w:szCs w:val="24"/>
          <w:lang w:eastAsia="es-UY"/>
          <w14:ligatures w14:val="none"/>
        </w:rPr>
        <w:t>Foto: </w:t>
      </w:r>
      <w:proofErr w:type="spellStart"/>
      <w:r w:rsidRPr="009832FD">
        <w:rPr>
          <w:rFonts w:eastAsia="Times New Roman" w:cs="Times New Roman"/>
          <w:i/>
          <w:iCs/>
          <w:color w:val="1D1D1B"/>
          <w:kern w:val="0"/>
          <w:sz w:val="24"/>
          <w:szCs w:val="24"/>
          <w:lang w:eastAsia="es-UY"/>
          <w14:ligatures w14:val="none"/>
        </w:rPr>
        <w:fldChar w:fldCharType="begin"/>
      </w:r>
      <w:r w:rsidRPr="009832FD">
        <w:rPr>
          <w:rFonts w:eastAsia="Times New Roman" w:cs="Times New Roman"/>
          <w:i/>
          <w:iCs/>
          <w:color w:val="1D1D1B"/>
          <w:kern w:val="0"/>
          <w:sz w:val="24"/>
          <w:szCs w:val="24"/>
          <w:lang w:eastAsia="es-UY"/>
          <w14:ligatures w14:val="none"/>
        </w:rPr>
        <w:instrText>HYPERLINK "https://www.gob.pe/institucion/devida/noticias/576900-devida-destaca-labor-de-los-comites-de-autodefensa-para-proteger-la-seguridad-de-sus-localidades" \t "_blank"</w:instrText>
      </w:r>
      <w:r w:rsidRPr="009832FD">
        <w:rPr>
          <w:rFonts w:eastAsia="Times New Roman" w:cs="Times New Roman"/>
          <w:i/>
          <w:iCs/>
          <w:color w:val="1D1D1B"/>
          <w:kern w:val="0"/>
          <w:sz w:val="24"/>
          <w:szCs w:val="24"/>
          <w:lang w:eastAsia="es-UY"/>
          <w14:ligatures w14:val="none"/>
        </w:rPr>
      </w:r>
      <w:r w:rsidRPr="009832FD">
        <w:rPr>
          <w:rFonts w:eastAsia="Times New Roman" w:cs="Times New Roman"/>
          <w:i/>
          <w:iCs/>
          <w:color w:val="1D1D1B"/>
          <w:kern w:val="0"/>
          <w:sz w:val="24"/>
          <w:szCs w:val="24"/>
          <w:lang w:eastAsia="es-UY"/>
          <w14:ligatures w14:val="none"/>
        </w:rPr>
        <w:fldChar w:fldCharType="separate"/>
      </w:r>
      <w:r w:rsidRPr="009832FD">
        <w:rPr>
          <w:rFonts w:eastAsia="Times New Roman" w:cs="Times New Roman"/>
          <w:i/>
          <w:iCs/>
          <w:color w:val="2B7AAA"/>
          <w:kern w:val="0"/>
          <w:sz w:val="24"/>
          <w:szCs w:val="24"/>
          <w:lang w:eastAsia="es-UY"/>
          <w14:ligatures w14:val="none"/>
        </w:rPr>
        <w:t>Devida</w:t>
      </w:r>
      <w:proofErr w:type="spellEnd"/>
      <w:r w:rsidRPr="009832FD">
        <w:rPr>
          <w:rFonts w:eastAsia="Times New Roman" w:cs="Times New Roman"/>
          <w:i/>
          <w:iCs/>
          <w:color w:val="1D1D1B"/>
          <w:kern w:val="0"/>
          <w:sz w:val="24"/>
          <w:szCs w:val="24"/>
          <w:lang w:eastAsia="es-UY"/>
          <w14:ligatures w14:val="none"/>
        </w:rPr>
        <w:fldChar w:fldCharType="end"/>
      </w:r>
    </w:p>
    <w:p w14:paraId="5819EE2A" w14:textId="77777777" w:rsidR="009832FD" w:rsidRDefault="009832FD" w:rsidP="009832FD">
      <w:pPr>
        <w:shd w:val="clear" w:color="auto" w:fill="FFFFFF"/>
        <w:spacing w:after="0" w:line="240" w:lineRule="auto"/>
        <w:jc w:val="both"/>
        <w:rPr>
          <w:rFonts w:eastAsia="Times New Roman" w:cs="Times New Roman"/>
          <w:i/>
          <w:iCs/>
          <w:color w:val="1D1D1B"/>
          <w:kern w:val="0"/>
          <w:sz w:val="24"/>
          <w:szCs w:val="24"/>
          <w:lang w:eastAsia="es-UY"/>
          <w14:ligatures w14:val="none"/>
        </w:rPr>
      </w:pPr>
    </w:p>
    <w:p w14:paraId="2D3B6CBF" w14:textId="77777777" w:rsidR="009832FD" w:rsidRDefault="009832FD" w:rsidP="009832FD">
      <w:pPr>
        <w:shd w:val="clear" w:color="auto" w:fill="FFFFFF"/>
        <w:spacing w:after="0" w:line="240" w:lineRule="auto"/>
        <w:jc w:val="both"/>
        <w:rPr>
          <w:rFonts w:eastAsia="Times New Roman" w:cs="Times New Roman"/>
          <w:i/>
          <w:iCs/>
          <w:color w:val="1D1D1B"/>
          <w:kern w:val="0"/>
          <w:sz w:val="24"/>
          <w:szCs w:val="24"/>
          <w:lang w:eastAsia="es-UY"/>
          <w14:ligatures w14:val="none"/>
        </w:rPr>
      </w:pPr>
    </w:p>
    <w:p w14:paraId="12E5B8C5" w14:textId="77777777" w:rsidR="009832FD" w:rsidRDefault="009832FD" w:rsidP="009832FD">
      <w:pPr>
        <w:shd w:val="clear" w:color="auto" w:fill="FFFFFF"/>
        <w:spacing w:after="0" w:line="240" w:lineRule="auto"/>
        <w:jc w:val="both"/>
        <w:rPr>
          <w:rFonts w:eastAsia="Times New Roman" w:cs="Times New Roman"/>
          <w:i/>
          <w:iCs/>
          <w:color w:val="1D1D1B"/>
          <w:kern w:val="0"/>
          <w:sz w:val="24"/>
          <w:szCs w:val="24"/>
          <w:lang w:eastAsia="es-UY"/>
          <w14:ligatures w14:val="none"/>
        </w:rPr>
      </w:pPr>
    </w:p>
    <w:p w14:paraId="753EA299" w14:textId="77777777" w:rsidR="009832FD" w:rsidRPr="009832FD" w:rsidRDefault="009832FD" w:rsidP="009832FD">
      <w:pPr>
        <w:shd w:val="clear" w:color="auto" w:fill="FFFFFF"/>
        <w:spacing w:after="0" w:line="240" w:lineRule="auto"/>
        <w:jc w:val="both"/>
        <w:rPr>
          <w:rFonts w:eastAsia="Times New Roman" w:cs="Times New Roman"/>
          <w:color w:val="1D1D1B"/>
          <w:kern w:val="0"/>
          <w:sz w:val="24"/>
          <w:szCs w:val="24"/>
          <w:lang w:eastAsia="es-UY"/>
          <w14:ligatures w14:val="none"/>
        </w:rPr>
      </w:pPr>
    </w:p>
    <w:p w14:paraId="68290769" w14:textId="77777777" w:rsidR="009832FD" w:rsidRPr="009832FD" w:rsidRDefault="009832FD" w:rsidP="009832FD">
      <w:pPr>
        <w:shd w:val="clear" w:color="auto" w:fill="FFFFFF"/>
        <w:spacing w:after="100" w:afterAutospacing="1" w:line="240" w:lineRule="auto"/>
        <w:jc w:val="both"/>
        <w:outlineLvl w:val="2"/>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lastRenderedPageBreak/>
        <w:t>Selvas y pueblos para siempre: nada de secesionismo</w:t>
      </w:r>
    </w:p>
    <w:p w14:paraId="090E35E4"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Cuando hablábamos de autonomías, hablamos del autogobierno dentro de sus propios territorios con tres objetivos: la vigilancia, monitoreo, protección, defensa y manejo de territorios; </w:t>
      </w:r>
      <w:hyperlink r:id="rId23" w:history="1">
        <w:r w:rsidRPr="009832FD">
          <w:rPr>
            <w:rFonts w:eastAsia="Times New Roman" w:cs="Times New Roman"/>
            <w:color w:val="2B7AAA"/>
            <w:kern w:val="0"/>
            <w:sz w:val="24"/>
            <w:szCs w:val="24"/>
            <w:lang w:eastAsia="es-UY"/>
            <w14:ligatures w14:val="none"/>
          </w:rPr>
          <w:t>la existencia de selvas y pueblos a perpetuidad</w:t>
        </w:r>
      </w:hyperlink>
      <w:r w:rsidRPr="009832FD">
        <w:rPr>
          <w:rFonts w:eastAsia="Times New Roman" w:cs="Times New Roman"/>
          <w:color w:val="1D1D1B"/>
          <w:kern w:val="0"/>
          <w:sz w:val="24"/>
          <w:szCs w:val="24"/>
          <w:lang w:eastAsia="es-UY"/>
          <w14:ligatures w14:val="none"/>
        </w:rPr>
        <w:t xml:space="preserve">; y la toma de decisiones </w:t>
      </w:r>
      <w:proofErr w:type="gramStart"/>
      <w:r w:rsidRPr="009832FD">
        <w:rPr>
          <w:rFonts w:eastAsia="Times New Roman" w:cs="Times New Roman"/>
          <w:color w:val="1D1D1B"/>
          <w:kern w:val="0"/>
          <w:sz w:val="24"/>
          <w:szCs w:val="24"/>
          <w:lang w:eastAsia="es-UY"/>
          <w14:ligatures w14:val="none"/>
        </w:rPr>
        <w:t>de acuerdo a</w:t>
      </w:r>
      <w:proofErr w:type="gramEnd"/>
      <w:r w:rsidRPr="009832FD">
        <w:rPr>
          <w:rFonts w:eastAsia="Times New Roman" w:cs="Times New Roman"/>
          <w:color w:val="1D1D1B"/>
          <w:kern w:val="0"/>
          <w:sz w:val="24"/>
          <w:szCs w:val="24"/>
          <w:lang w:eastAsia="es-UY"/>
          <w14:ligatures w14:val="none"/>
        </w:rPr>
        <w:t xml:space="preserve"> su cultura, historia y procesos colectivos. No tiene absolutamente nada que ver con alguna forma de separatismo o secesionismo porque los pueblos indígenas han aceptado el artículo 46 de la Declaración de Naciones Unidas de Derechos de los Pueblos Indígenas: “Nada se interpretará para quebrantar o menoscabar la integridad territorial o la unidad política de los Estados”.</w:t>
      </w:r>
    </w:p>
    <w:p w14:paraId="01363124"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El falso argumento de una supuesta secesión se brinda por ignorancia, desinformación, prejuicio o simple pretexto distractivo de algunos grupos de interés vinculados a la dictadura extractivista. Para mayor amplitud, </w:t>
      </w:r>
      <w:hyperlink r:id="rId24" w:history="1">
        <w:r w:rsidRPr="009832FD">
          <w:rPr>
            <w:rFonts w:eastAsia="Times New Roman" w:cs="Times New Roman"/>
            <w:color w:val="2B7AAA"/>
            <w:kern w:val="0"/>
            <w:sz w:val="24"/>
            <w:szCs w:val="24"/>
            <w:lang w:eastAsia="es-UY"/>
            <w14:ligatures w14:val="none"/>
          </w:rPr>
          <w:t xml:space="preserve">el Gobierno Territorial Autónomo de la Nación </w:t>
        </w:r>
        <w:proofErr w:type="spellStart"/>
        <w:r w:rsidRPr="009832FD">
          <w:rPr>
            <w:rFonts w:eastAsia="Times New Roman" w:cs="Times New Roman"/>
            <w:color w:val="2B7AAA"/>
            <w:kern w:val="0"/>
            <w:sz w:val="24"/>
            <w:szCs w:val="24"/>
            <w:lang w:eastAsia="es-UY"/>
            <w14:ligatures w14:val="none"/>
          </w:rPr>
          <w:t>Wampís</w:t>
        </w:r>
        <w:proofErr w:type="spellEnd"/>
        <w:r w:rsidRPr="009832FD">
          <w:rPr>
            <w:rFonts w:eastAsia="Times New Roman" w:cs="Times New Roman"/>
            <w:color w:val="2B7AAA"/>
            <w:kern w:val="0"/>
            <w:sz w:val="24"/>
            <w:szCs w:val="24"/>
            <w:lang w:eastAsia="es-UY"/>
            <w14:ligatures w14:val="none"/>
          </w:rPr>
          <w:t xml:space="preserve"> (GTANW) ha presentado un protocolo de relacionamiento con el Estado peruano</w:t>
        </w:r>
      </w:hyperlink>
      <w:r w:rsidRPr="009832FD">
        <w:rPr>
          <w:rFonts w:eastAsia="Times New Roman" w:cs="Times New Roman"/>
          <w:color w:val="1D1D1B"/>
          <w:kern w:val="0"/>
          <w:sz w:val="24"/>
          <w:szCs w:val="24"/>
          <w:lang w:eastAsia="es-UY"/>
          <w14:ligatures w14:val="none"/>
        </w:rPr>
        <w:t xml:space="preserve">. Este documento detalla las relaciones de mutuo respeto entre los ciudadanos peruanos </w:t>
      </w:r>
      <w:proofErr w:type="spellStart"/>
      <w:r w:rsidRPr="009832FD">
        <w:rPr>
          <w:rFonts w:eastAsia="Times New Roman" w:cs="Times New Roman"/>
          <w:color w:val="1D1D1B"/>
          <w:kern w:val="0"/>
          <w:sz w:val="24"/>
          <w:szCs w:val="24"/>
          <w:lang w:eastAsia="es-UY"/>
          <w14:ligatures w14:val="none"/>
        </w:rPr>
        <w:t>wampis</w:t>
      </w:r>
      <w:proofErr w:type="spellEnd"/>
      <w:r w:rsidRPr="009832FD">
        <w:rPr>
          <w:rFonts w:eastAsia="Times New Roman" w:cs="Times New Roman"/>
          <w:color w:val="1D1D1B"/>
          <w:kern w:val="0"/>
          <w:sz w:val="24"/>
          <w:szCs w:val="24"/>
          <w:lang w:eastAsia="es-UY"/>
          <w14:ligatures w14:val="none"/>
        </w:rPr>
        <w:t xml:space="preserve"> y el Estado peruano, en el marco constitucional y legislativo, y en busca de la cooperación y construcción conjunta de políticas, planes y actividades.</w:t>
      </w:r>
    </w:p>
    <w:p w14:paraId="1707E63B"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En Ecuador, el autogobierno </w:t>
      </w:r>
      <w:proofErr w:type="spellStart"/>
      <w:r w:rsidRPr="009832FD">
        <w:rPr>
          <w:rFonts w:eastAsia="Times New Roman" w:cs="Times New Roman"/>
          <w:color w:val="1D1D1B"/>
          <w:kern w:val="0"/>
          <w:sz w:val="24"/>
          <w:szCs w:val="24"/>
          <w:lang w:eastAsia="es-UY"/>
          <w14:ligatures w14:val="none"/>
        </w:rPr>
        <w:t>Kitu</w:t>
      </w:r>
      <w:proofErr w:type="spellEnd"/>
      <w:r w:rsidRPr="009832FD">
        <w:rPr>
          <w:rFonts w:eastAsia="Times New Roman" w:cs="Times New Roman"/>
          <w:color w:val="1D1D1B"/>
          <w:kern w:val="0"/>
          <w:sz w:val="24"/>
          <w:szCs w:val="24"/>
          <w:lang w:eastAsia="es-UY"/>
          <w14:ligatures w14:val="none"/>
        </w:rPr>
        <w:t xml:space="preserve"> Kara afrontó el debate interno entre dos posiciones extremas: por un lado, el sometimiento a la agenda estatal y, por otro lado, el completo apartamiento del Estado. Tras este debate comunitario, la autonomía ha establecido su propia fórmula denominada </w:t>
      </w:r>
      <w:hyperlink r:id="rId25" w:history="1">
        <w:r w:rsidRPr="009832FD">
          <w:rPr>
            <w:rFonts w:eastAsia="Times New Roman" w:cs="Times New Roman"/>
            <w:color w:val="2B7AAA"/>
            <w:kern w:val="0"/>
            <w:sz w:val="24"/>
            <w:szCs w:val="24"/>
            <w:lang w:eastAsia="es-UY"/>
            <w14:ligatures w14:val="none"/>
          </w:rPr>
          <w:t>“En, Con o Contra el Estado”</w:t>
        </w:r>
      </w:hyperlink>
      <w:r w:rsidRPr="009832FD">
        <w:rPr>
          <w:rFonts w:eastAsia="Times New Roman" w:cs="Times New Roman"/>
          <w:color w:val="1D1D1B"/>
          <w:kern w:val="0"/>
          <w:sz w:val="24"/>
          <w:szCs w:val="24"/>
          <w:lang w:eastAsia="es-UY"/>
          <w14:ligatures w14:val="none"/>
        </w:rPr>
        <w:t>, pero siempre desde su autogobierno territorial. Según las circunstancias, trabajarán dentro del Estado, en conjunto y, cuando sea requerido, actuarán en contra de lo que atente a sus derechos.</w:t>
      </w:r>
    </w:p>
    <w:p w14:paraId="5092A001" w14:textId="77777777" w:rsidR="009832FD" w:rsidRDefault="009832FD" w:rsidP="009832FD">
      <w:pPr>
        <w:shd w:val="clear" w:color="auto" w:fill="FFFFFF"/>
        <w:spacing w:after="0" w:line="240" w:lineRule="auto"/>
        <w:jc w:val="center"/>
        <w:rPr>
          <w:rFonts w:eastAsia="Times New Roman" w:cs="Times New Roman"/>
          <w:i/>
          <w:iCs/>
          <w:color w:val="1D1D1B"/>
          <w:kern w:val="0"/>
          <w:sz w:val="24"/>
          <w:szCs w:val="24"/>
          <w:lang w:eastAsia="es-UY"/>
          <w14:ligatures w14:val="none"/>
        </w:rPr>
      </w:pPr>
      <w:r w:rsidRPr="009832FD">
        <w:rPr>
          <w:rFonts w:eastAsia="Times New Roman" w:cs="Times New Roman"/>
          <w:noProof/>
          <w:color w:val="1D1D1B"/>
          <w:kern w:val="0"/>
          <w:sz w:val="24"/>
          <w:szCs w:val="24"/>
          <w:lang w:eastAsia="es-UY"/>
          <w14:ligatures w14:val="none"/>
        </w:rPr>
        <w:drawing>
          <wp:inline distT="0" distB="0" distL="0" distR="0" wp14:anchorId="26AAA9A3" wp14:editId="3B551F71">
            <wp:extent cx="3949597" cy="2787346"/>
            <wp:effectExtent l="0" t="0" r="0" b="0"/>
            <wp:docPr id="4" name="Imagen 3" descr="Un grupo de personas caminando en la tie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Un grupo de personas caminando en la tierra&#10;&#10;Descripción generada automáticament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57111" cy="2792649"/>
                    </a:xfrm>
                    <a:prstGeom prst="rect">
                      <a:avLst/>
                    </a:prstGeom>
                    <a:noFill/>
                    <a:ln>
                      <a:noFill/>
                    </a:ln>
                  </pic:spPr>
                </pic:pic>
              </a:graphicData>
            </a:graphic>
          </wp:inline>
        </w:drawing>
      </w:r>
    </w:p>
    <w:p w14:paraId="25182919" w14:textId="41896FCB" w:rsidR="009832FD" w:rsidRPr="009832FD" w:rsidRDefault="009832FD" w:rsidP="009832FD">
      <w:pPr>
        <w:shd w:val="clear" w:color="auto" w:fill="FFFFFF"/>
        <w:spacing w:after="0" w:line="240" w:lineRule="auto"/>
        <w:jc w:val="center"/>
        <w:rPr>
          <w:rFonts w:eastAsia="Times New Roman" w:cs="Times New Roman"/>
          <w:color w:val="1D1D1B"/>
          <w:kern w:val="0"/>
          <w:sz w:val="24"/>
          <w:szCs w:val="24"/>
          <w:lang w:eastAsia="es-UY"/>
          <w14:ligatures w14:val="none"/>
        </w:rPr>
      </w:pPr>
      <w:r w:rsidRPr="009832FD">
        <w:rPr>
          <w:rFonts w:eastAsia="Times New Roman" w:cs="Times New Roman"/>
          <w:i/>
          <w:iCs/>
          <w:color w:val="1D1D1B"/>
          <w:kern w:val="0"/>
          <w:sz w:val="24"/>
          <w:szCs w:val="24"/>
          <w:lang w:eastAsia="es-UY"/>
          <w14:ligatures w14:val="none"/>
        </w:rPr>
        <w:t xml:space="preserve">Las autoridades del GTANW dialogan con la población sobre el desalojo de mineros ilegales en Boca </w:t>
      </w:r>
      <w:proofErr w:type="spellStart"/>
      <w:r w:rsidRPr="009832FD">
        <w:rPr>
          <w:rFonts w:eastAsia="Times New Roman" w:cs="Times New Roman"/>
          <w:i/>
          <w:iCs/>
          <w:color w:val="1D1D1B"/>
          <w:kern w:val="0"/>
          <w:sz w:val="24"/>
          <w:szCs w:val="24"/>
          <w:lang w:eastAsia="es-UY"/>
          <w14:ligatures w14:val="none"/>
        </w:rPr>
        <w:t>Ayambis</w:t>
      </w:r>
      <w:proofErr w:type="spellEnd"/>
      <w:r w:rsidRPr="009832FD">
        <w:rPr>
          <w:rFonts w:eastAsia="Times New Roman" w:cs="Times New Roman"/>
          <w:i/>
          <w:iCs/>
          <w:color w:val="1D1D1B"/>
          <w:kern w:val="0"/>
          <w:sz w:val="24"/>
          <w:szCs w:val="24"/>
          <w:lang w:eastAsia="es-UY"/>
          <w14:ligatures w14:val="none"/>
        </w:rPr>
        <w:t>.</w:t>
      </w:r>
      <w:r w:rsidRPr="009832FD">
        <w:rPr>
          <w:rFonts w:eastAsia="Times New Roman" w:cs="Times New Roman"/>
          <w:b/>
          <w:bCs/>
          <w:i/>
          <w:iCs/>
          <w:color w:val="1D1D1B"/>
          <w:kern w:val="0"/>
          <w:sz w:val="24"/>
          <w:szCs w:val="24"/>
          <w:lang w:eastAsia="es-UY"/>
          <w14:ligatures w14:val="none"/>
        </w:rPr>
        <w:t> Foto: </w:t>
      </w:r>
      <w:hyperlink r:id="rId27" w:tgtFrame="_blank" w:history="1">
        <w:r w:rsidRPr="009832FD">
          <w:rPr>
            <w:rFonts w:eastAsia="Times New Roman" w:cs="Times New Roman"/>
            <w:i/>
            <w:iCs/>
            <w:color w:val="2B7AAA"/>
            <w:kern w:val="0"/>
            <w:sz w:val="24"/>
            <w:szCs w:val="24"/>
            <w:lang w:eastAsia="es-UY"/>
            <w14:ligatures w14:val="none"/>
          </w:rPr>
          <w:t xml:space="preserve">Nación </w:t>
        </w:r>
        <w:proofErr w:type="spellStart"/>
        <w:r w:rsidRPr="009832FD">
          <w:rPr>
            <w:rFonts w:eastAsia="Times New Roman" w:cs="Times New Roman"/>
            <w:i/>
            <w:iCs/>
            <w:color w:val="2B7AAA"/>
            <w:kern w:val="0"/>
            <w:sz w:val="24"/>
            <w:szCs w:val="24"/>
            <w:lang w:eastAsia="es-UY"/>
            <w14:ligatures w14:val="none"/>
          </w:rPr>
          <w:t>Wampís</w:t>
        </w:r>
        <w:proofErr w:type="spellEnd"/>
      </w:hyperlink>
    </w:p>
    <w:p w14:paraId="3EBA0BD3" w14:textId="77777777" w:rsidR="009832FD" w:rsidRDefault="009832FD" w:rsidP="009832FD">
      <w:pPr>
        <w:shd w:val="clear" w:color="auto" w:fill="FFFFFF"/>
        <w:spacing w:after="100" w:afterAutospacing="1" w:line="240" w:lineRule="auto"/>
        <w:jc w:val="both"/>
        <w:outlineLvl w:val="2"/>
        <w:rPr>
          <w:rFonts w:eastAsia="Times New Roman" w:cs="Arial"/>
          <w:b/>
          <w:bCs/>
          <w:color w:val="003250"/>
          <w:kern w:val="0"/>
          <w:sz w:val="24"/>
          <w:szCs w:val="24"/>
          <w:lang w:eastAsia="es-UY"/>
          <w14:ligatures w14:val="none"/>
        </w:rPr>
      </w:pPr>
    </w:p>
    <w:p w14:paraId="2AED63E3" w14:textId="2411175D" w:rsidR="009832FD" w:rsidRPr="009832FD" w:rsidRDefault="009832FD" w:rsidP="009832FD">
      <w:pPr>
        <w:shd w:val="clear" w:color="auto" w:fill="FFFFFF"/>
        <w:spacing w:after="100" w:afterAutospacing="1" w:line="240" w:lineRule="auto"/>
        <w:jc w:val="both"/>
        <w:outlineLvl w:val="2"/>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lastRenderedPageBreak/>
        <w:t>Territorialidad, titularidad y autogobierno</w:t>
      </w:r>
    </w:p>
    <w:p w14:paraId="701DB558"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Si bien un proceso autonómico se desarrolla al ritmo de cada pueblo, podemos señalar tres dimensiones que podrían superponerse. En primer lugar, se inicia con la recuperación de la memoria y saberes sobre la ocupación territorial ancestral: las áreas tradicionales de asentamiento, de migración, cementerios, cacería, pesca y recolección, que deben ser consensuadas con otros pueblos colindantes. Se registran los poblados no indígenas, las concesiones y las áreas protegidas para los futuros protocolos de relacionamiento y respeto a la gobernanza indígena. </w:t>
      </w:r>
    </w:p>
    <w:p w14:paraId="3EC2EA2A"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A continuación, se construye un expediente de sustentación histórica, ecológica, jurídica y de mapas territoriales y de zonificación. Este expediente es notificado a las autoridades estatales para que sea respetado y que no se admitan operaciones extractivas. En este sentido, los artículos 13 y 14 del Convenio 169 de la OIT describen a la </w:t>
      </w:r>
      <w:r w:rsidRPr="009832FD">
        <w:rPr>
          <w:rFonts w:eastAsia="Times New Roman" w:cs="Times New Roman"/>
          <w:i/>
          <w:iCs/>
          <w:color w:val="1D1D1B"/>
          <w:kern w:val="0"/>
          <w:sz w:val="24"/>
          <w:szCs w:val="24"/>
          <w:lang w:eastAsia="es-UY"/>
          <w14:ligatures w14:val="none"/>
        </w:rPr>
        <w:t>territorialidad integral ancestral</w:t>
      </w:r>
      <w:r w:rsidRPr="009832FD">
        <w:rPr>
          <w:rFonts w:eastAsia="Times New Roman" w:cs="Times New Roman"/>
          <w:color w:val="1D1D1B"/>
          <w:kern w:val="0"/>
          <w:sz w:val="24"/>
          <w:szCs w:val="24"/>
          <w:lang w:eastAsia="es-UY"/>
          <w14:ligatures w14:val="none"/>
        </w:rPr>
        <w:t> como el hábitat regional que los pueblos ocupan (o utilizan de alguna otra manera) y como el derecho a utilizar las tierras que no estén ocupadas exclusivamente por ellos, pero a las que hayan tenido acceso para sus actividades tradicionales y de subsistencia.</w:t>
      </w:r>
    </w:p>
    <w:p w14:paraId="569E32C9" w14:textId="77777777" w:rsidR="009832FD" w:rsidRPr="009832FD" w:rsidRDefault="009832FD" w:rsidP="009832FD">
      <w:pPr>
        <w:shd w:val="clear" w:color="auto" w:fill="FFFFFF"/>
        <w:spacing w:after="100" w:line="240" w:lineRule="auto"/>
        <w:jc w:val="both"/>
        <w:rPr>
          <w:rFonts w:eastAsia="Times New Roman" w:cs="Times New Roman"/>
          <w:i/>
          <w:iCs/>
          <w:color w:val="2B7AAA"/>
          <w:kern w:val="0"/>
          <w:sz w:val="24"/>
          <w:szCs w:val="24"/>
          <w:lang w:eastAsia="es-UY"/>
          <w14:ligatures w14:val="none"/>
        </w:rPr>
      </w:pPr>
      <w:r w:rsidRPr="009832FD">
        <w:rPr>
          <w:rFonts w:eastAsia="Times New Roman" w:cs="Times New Roman"/>
          <w:i/>
          <w:iCs/>
          <w:color w:val="2B7AAA"/>
          <w:kern w:val="0"/>
          <w:sz w:val="24"/>
          <w:szCs w:val="24"/>
          <w:lang w:eastAsia="es-UY"/>
          <w14:ligatures w14:val="none"/>
        </w:rPr>
        <w:t>En una tercera etapa, se construye el Estatuto del Autogobierno en los que se sintetizan diversos aspectos. Esto prosigue con la adopción de resoluciones u ordenanzas del gobierno territorial de desarrollo estatutario y normativo.</w:t>
      </w:r>
    </w:p>
    <w:p w14:paraId="0E0F2795"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La personería jurídica indígena no ha respetado la institucionalidad colectiva propia de cada pueblo, sino que se le ha partido en múltiples pedazos comunales, y han sido sometidas a los mismos procedimientos que cualquier asociación civil urbana. La alternativa propuesta es la apertura de un libro especial de registro como “pueblos indígenas” en la Superintendencia Nacional de los Registros Públicos de Perú (SUNARP). En este sentido, </w:t>
      </w:r>
      <w:hyperlink r:id="rId28" w:history="1">
        <w:r w:rsidRPr="009832FD">
          <w:rPr>
            <w:rFonts w:eastAsia="Times New Roman" w:cs="Times New Roman"/>
            <w:color w:val="2B7AAA"/>
            <w:kern w:val="0"/>
            <w:sz w:val="24"/>
            <w:szCs w:val="24"/>
            <w:lang w:eastAsia="es-UY"/>
            <w14:ligatures w14:val="none"/>
          </w:rPr>
          <w:t>el Gobierno Regional de Loreto reconoció la existencia de 22 pueblos indígenas</w:t>
        </w:r>
      </w:hyperlink>
      <w:r w:rsidRPr="009832FD">
        <w:rPr>
          <w:rFonts w:eastAsia="Times New Roman" w:cs="Times New Roman"/>
          <w:color w:val="1D1D1B"/>
          <w:kern w:val="0"/>
          <w:sz w:val="24"/>
          <w:szCs w:val="24"/>
          <w:lang w:eastAsia="es-UY"/>
          <w14:ligatures w14:val="none"/>
        </w:rPr>
        <w:t>: si bien lamentablemente fue bloqueada por el Ministerio de Cultura, la ordenanza puede ser retomada en el futuro, acompañada del </w:t>
      </w:r>
      <w:hyperlink r:id="rId29" w:history="1">
        <w:r w:rsidRPr="009832FD">
          <w:rPr>
            <w:rFonts w:eastAsia="Times New Roman" w:cs="Times New Roman"/>
            <w:color w:val="2B7AAA"/>
            <w:kern w:val="0"/>
            <w:sz w:val="24"/>
            <w:szCs w:val="24"/>
            <w:lang w:eastAsia="es-UY"/>
            <w14:ligatures w14:val="none"/>
          </w:rPr>
          <w:t>proyecto de ley de las autonomías</w:t>
        </w:r>
      </w:hyperlink>
      <w:r w:rsidRPr="009832FD">
        <w:rPr>
          <w:rFonts w:eastAsia="Times New Roman" w:cs="Times New Roman"/>
          <w:color w:val="1D1D1B"/>
          <w:kern w:val="0"/>
          <w:sz w:val="24"/>
          <w:szCs w:val="24"/>
          <w:lang w:eastAsia="es-UY"/>
          <w14:ligatures w14:val="none"/>
        </w:rPr>
        <w:t>, para que el Estado cumpla con su obligación de respetar a los pueblos como “sujetos de derecho”.  </w:t>
      </w:r>
    </w:p>
    <w:p w14:paraId="766E3B71"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Finalmente, se construye el Estatuto del Autogobierno (como en los casos del </w:t>
      </w:r>
      <w:hyperlink r:id="rId30" w:history="1">
        <w:r w:rsidRPr="009832FD">
          <w:rPr>
            <w:rFonts w:eastAsia="Times New Roman" w:cs="Times New Roman"/>
            <w:color w:val="2B7AAA"/>
            <w:kern w:val="0"/>
            <w:sz w:val="24"/>
            <w:szCs w:val="24"/>
            <w:lang w:eastAsia="es-UY"/>
            <w14:ligatures w14:val="none"/>
          </w:rPr>
          <w:t>GTANW</w:t>
        </w:r>
      </w:hyperlink>
      <w:r w:rsidRPr="009832FD">
        <w:rPr>
          <w:rFonts w:eastAsia="Times New Roman" w:cs="Times New Roman"/>
          <w:color w:val="1D1D1B"/>
          <w:kern w:val="0"/>
          <w:sz w:val="24"/>
          <w:szCs w:val="24"/>
          <w:lang w:eastAsia="es-UY"/>
          <w14:ligatures w14:val="none"/>
        </w:rPr>
        <w:t> y del </w:t>
      </w:r>
      <w:hyperlink r:id="rId31" w:history="1">
        <w:r w:rsidRPr="009832FD">
          <w:rPr>
            <w:rFonts w:eastAsia="Times New Roman" w:cs="Times New Roman"/>
            <w:color w:val="2B7AAA"/>
            <w:kern w:val="0"/>
            <w:sz w:val="24"/>
            <w:szCs w:val="24"/>
            <w:lang w:eastAsia="es-UY"/>
            <w14:ligatures w14:val="none"/>
          </w:rPr>
          <w:t>GTAA</w:t>
        </w:r>
      </w:hyperlink>
      <w:r w:rsidRPr="009832FD">
        <w:rPr>
          <w:rFonts w:eastAsia="Times New Roman" w:cs="Times New Roman"/>
          <w:color w:val="1D1D1B"/>
          <w:kern w:val="0"/>
          <w:sz w:val="24"/>
          <w:szCs w:val="24"/>
          <w:lang w:eastAsia="es-UY"/>
          <w14:ligatures w14:val="none"/>
        </w:rPr>
        <w:t>) en los que se sintetizan diversos aspectos: la historia de cada pueblo, su cosmovisión, la delimitación territorial y </w:t>
      </w:r>
      <w:hyperlink r:id="rId32" w:history="1">
        <w:r w:rsidRPr="009832FD">
          <w:rPr>
            <w:rFonts w:eastAsia="Times New Roman" w:cs="Times New Roman"/>
            <w:color w:val="2B7AAA"/>
            <w:kern w:val="0"/>
            <w:sz w:val="24"/>
            <w:szCs w:val="24"/>
            <w:lang w:eastAsia="es-UY"/>
            <w14:ligatures w14:val="none"/>
          </w:rPr>
          <w:t>la estructura de la autoridad colectiva</w:t>
        </w:r>
      </w:hyperlink>
      <w:r w:rsidRPr="009832FD">
        <w:rPr>
          <w:rFonts w:eastAsia="Times New Roman" w:cs="Times New Roman"/>
          <w:color w:val="1D1D1B"/>
          <w:kern w:val="0"/>
          <w:sz w:val="24"/>
          <w:szCs w:val="24"/>
          <w:lang w:eastAsia="es-UY"/>
          <w14:ligatures w14:val="none"/>
        </w:rPr>
        <w:t>; las regulaciones sobre bosques, biodiversidad, educación, salud y justicia propias; participación de los sabios, sabias, mujeres y jóvenes; y la relación con los poblados no indígenas y áreas naturales protegidas estatales. </w:t>
      </w:r>
      <w:hyperlink r:id="rId33" w:history="1">
        <w:r w:rsidRPr="009832FD">
          <w:rPr>
            <w:rFonts w:eastAsia="Times New Roman" w:cs="Times New Roman"/>
            <w:color w:val="2B7AAA"/>
            <w:kern w:val="0"/>
            <w:sz w:val="24"/>
            <w:szCs w:val="24"/>
            <w:lang w:eastAsia="es-UY"/>
            <w14:ligatures w14:val="none"/>
          </w:rPr>
          <w:t>Esto prosigue con la adopción de resoluciones u ordenanzas del gobierno territorial de desarrollo estatutario y normativo</w:t>
        </w:r>
      </w:hyperlink>
      <w:r w:rsidRPr="009832FD">
        <w:rPr>
          <w:rFonts w:eastAsia="Times New Roman" w:cs="Times New Roman"/>
          <w:color w:val="1D1D1B"/>
          <w:kern w:val="0"/>
          <w:sz w:val="24"/>
          <w:szCs w:val="24"/>
          <w:lang w:eastAsia="es-UY"/>
          <w14:ligatures w14:val="none"/>
        </w:rPr>
        <w:t>.</w:t>
      </w:r>
    </w:p>
    <w:p w14:paraId="7DEB66B7" w14:textId="77777777" w:rsidR="009832FD" w:rsidRPr="009832FD" w:rsidRDefault="009832FD" w:rsidP="009832FD">
      <w:pPr>
        <w:shd w:val="clear" w:color="auto" w:fill="FFFFFF"/>
        <w:spacing w:after="0"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noProof/>
          <w:color w:val="1D1D1B"/>
          <w:kern w:val="0"/>
          <w:sz w:val="24"/>
          <w:szCs w:val="24"/>
          <w:lang w:eastAsia="es-UY"/>
          <w14:ligatures w14:val="none"/>
        </w:rPr>
        <w:drawing>
          <wp:inline distT="0" distB="0" distL="0" distR="0" wp14:anchorId="70AE14DA" wp14:editId="0B9A8DF0">
            <wp:extent cx="9753600" cy="5924550"/>
            <wp:effectExtent l="0" t="0" r="0" b="0"/>
            <wp:docPr id="5" name="Imagen 2" descr="Un grupo de gente sentados en el suel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Un grupo de gente sentados en el suelo&#10;&#10;Descripción generada automáticamente con confianza medi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53600" cy="5924550"/>
                    </a:xfrm>
                    <a:prstGeom prst="rect">
                      <a:avLst/>
                    </a:prstGeom>
                    <a:noFill/>
                    <a:ln>
                      <a:noFill/>
                    </a:ln>
                  </pic:spPr>
                </pic:pic>
              </a:graphicData>
            </a:graphic>
          </wp:inline>
        </w:drawing>
      </w:r>
      <w:r w:rsidRPr="009832FD">
        <w:rPr>
          <w:rFonts w:eastAsia="Times New Roman" w:cs="Times New Roman"/>
          <w:i/>
          <w:iCs/>
          <w:color w:val="1D1D1B"/>
          <w:kern w:val="0"/>
          <w:sz w:val="24"/>
          <w:szCs w:val="24"/>
          <w:lang w:eastAsia="es-UY"/>
          <w14:ligatures w14:val="none"/>
        </w:rPr>
        <w:t>El</w:t>
      </w:r>
      <w:r w:rsidRPr="009832FD">
        <w:rPr>
          <w:rFonts w:eastAsia="Times New Roman" w:cs="Times New Roman"/>
          <w:b/>
          <w:bCs/>
          <w:i/>
          <w:iCs/>
          <w:color w:val="1D1D1B"/>
          <w:kern w:val="0"/>
          <w:sz w:val="24"/>
          <w:szCs w:val="24"/>
          <w:lang w:eastAsia="es-UY"/>
          <w14:ligatures w14:val="none"/>
        </w:rPr>
        <w:t> </w:t>
      </w:r>
      <w:r w:rsidRPr="009832FD">
        <w:rPr>
          <w:rFonts w:eastAsia="Times New Roman" w:cs="Times New Roman"/>
          <w:i/>
          <w:iCs/>
          <w:color w:val="1D1D1B"/>
          <w:kern w:val="0"/>
          <w:sz w:val="24"/>
          <w:szCs w:val="24"/>
          <w:lang w:eastAsia="es-UY"/>
          <w14:ligatures w14:val="none"/>
        </w:rPr>
        <w:t xml:space="preserve">Gobierno Territorial Autónomo </w:t>
      </w:r>
      <w:proofErr w:type="spellStart"/>
      <w:r w:rsidRPr="009832FD">
        <w:rPr>
          <w:rFonts w:eastAsia="Times New Roman" w:cs="Times New Roman"/>
          <w:i/>
          <w:iCs/>
          <w:color w:val="1D1D1B"/>
          <w:kern w:val="0"/>
          <w:sz w:val="24"/>
          <w:szCs w:val="24"/>
          <w:lang w:eastAsia="es-UY"/>
          <w14:ligatures w14:val="none"/>
        </w:rPr>
        <w:t>Awajún</w:t>
      </w:r>
      <w:proofErr w:type="spellEnd"/>
      <w:r w:rsidRPr="009832FD">
        <w:rPr>
          <w:rFonts w:eastAsia="Times New Roman" w:cs="Times New Roman"/>
          <w:i/>
          <w:iCs/>
          <w:color w:val="1D1D1B"/>
          <w:kern w:val="0"/>
          <w:sz w:val="24"/>
          <w:szCs w:val="24"/>
          <w:lang w:eastAsia="es-UY"/>
          <w14:ligatures w14:val="none"/>
        </w:rPr>
        <w:t xml:space="preserve"> (GTAA) ha creado su propio estatuto según sus usos y costumbres.</w:t>
      </w:r>
      <w:r w:rsidRPr="009832FD">
        <w:rPr>
          <w:rFonts w:eastAsia="Times New Roman" w:cs="Times New Roman"/>
          <w:b/>
          <w:bCs/>
          <w:i/>
          <w:iCs/>
          <w:color w:val="1D1D1B"/>
          <w:kern w:val="0"/>
          <w:sz w:val="24"/>
          <w:szCs w:val="24"/>
          <w:lang w:eastAsia="es-UY"/>
          <w14:ligatures w14:val="none"/>
        </w:rPr>
        <w:t> Foto:</w:t>
      </w:r>
      <w:r w:rsidRPr="009832FD">
        <w:rPr>
          <w:rFonts w:eastAsia="Times New Roman" w:cs="Times New Roman"/>
          <w:i/>
          <w:iCs/>
          <w:color w:val="1D1D1B"/>
          <w:kern w:val="0"/>
          <w:sz w:val="24"/>
          <w:szCs w:val="24"/>
          <w:lang w:eastAsia="es-UY"/>
          <w14:ligatures w14:val="none"/>
        </w:rPr>
        <w:t> Alejandro Parellada</w:t>
      </w:r>
    </w:p>
    <w:p w14:paraId="4AD086AC" w14:textId="77777777" w:rsidR="009832FD" w:rsidRPr="009832FD" w:rsidRDefault="009832FD" w:rsidP="009832FD">
      <w:pPr>
        <w:shd w:val="clear" w:color="auto" w:fill="FFFFFF"/>
        <w:spacing w:after="100" w:afterAutospacing="1" w:line="240" w:lineRule="auto"/>
        <w:jc w:val="both"/>
        <w:outlineLvl w:val="2"/>
        <w:rPr>
          <w:rFonts w:eastAsia="Times New Roman" w:cs="Arial"/>
          <w:b/>
          <w:bCs/>
          <w:color w:val="003250"/>
          <w:kern w:val="0"/>
          <w:sz w:val="24"/>
          <w:szCs w:val="24"/>
          <w:lang w:eastAsia="es-UY"/>
          <w14:ligatures w14:val="none"/>
        </w:rPr>
      </w:pPr>
      <w:r w:rsidRPr="009832FD">
        <w:rPr>
          <w:rFonts w:eastAsia="Times New Roman" w:cs="Arial"/>
          <w:b/>
          <w:bCs/>
          <w:color w:val="003250"/>
          <w:kern w:val="0"/>
          <w:sz w:val="24"/>
          <w:szCs w:val="24"/>
          <w:lang w:eastAsia="es-UY"/>
          <w14:ligatures w14:val="none"/>
        </w:rPr>
        <w:t xml:space="preserve">Autogobiernos, plurinacionalidad y </w:t>
      </w:r>
      <w:proofErr w:type="spellStart"/>
      <w:r w:rsidRPr="009832FD">
        <w:rPr>
          <w:rFonts w:eastAsia="Times New Roman" w:cs="Arial"/>
          <w:b/>
          <w:bCs/>
          <w:color w:val="003250"/>
          <w:kern w:val="0"/>
          <w:sz w:val="24"/>
          <w:szCs w:val="24"/>
          <w:lang w:eastAsia="es-UY"/>
          <w14:ligatures w14:val="none"/>
        </w:rPr>
        <w:t>descolonialidad</w:t>
      </w:r>
      <w:proofErr w:type="spellEnd"/>
      <w:r w:rsidRPr="009832FD">
        <w:rPr>
          <w:rFonts w:eastAsia="Times New Roman" w:cs="Arial"/>
          <w:b/>
          <w:bCs/>
          <w:color w:val="003250"/>
          <w:kern w:val="0"/>
          <w:sz w:val="24"/>
          <w:szCs w:val="24"/>
          <w:lang w:eastAsia="es-UY"/>
          <w14:ligatures w14:val="none"/>
        </w:rPr>
        <w:t xml:space="preserve"> del poder</w:t>
      </w:r>
    </w:p>
    <w:p w14:paraId="3CCB48A1"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Hay una relación estrecha entre las autonomías indígenas y, los cambios en la sociedad y en el Estado “</w:t>
      </w:r>
      <w:proofErr w:type="spellStart"/>
      <w:r w:rsidRPr="009832FD">
        <w:rPr>
          <w:rFonts w:eastAsia="Times New Roman" w:cs="Times New Roman"/>
          <w:color w:val="1D1D1B"/>
          <w:kern w:val="0"/>
          <w:sz w:val="24"/>
          <w:szCs w:val="24"/>
          <w:lang w:eastAsia="es-UY"/>
          <w14:ligatures w14:val="none"/>
        </w:rPr>
        <w:t>uninacional</w:t>
      </w:r>
      <w:proofErr w:type="spellEnd"/>
      <w:r w:rsidRPr="009832FD">
        <w:rPr>
          <w:rFonts w:eastAsia="Times New Roman" w:cs="Times New Roman"/>
          <w:color w:val="1D1D1B"/>
          <w:kern w:val="0"/>
          <w:sz w:val="24"/>
          <w:szCs w:val="24"/>
          <w:lang w:eastAsia="es-UY"/>
          <w14:ligatures w14:val="none"/>
        </w:rPr>
        <w:t>”. La territorialidad integral del suelo, la personalidad jurídico-política de los pueblos indígenas y el respeto a la autoridad del autogobierno implicaría la admisión de que el Perú no es una sociedad “</w:t>
      </w:r>
      <w:proofErr w:type="spellStart"/>
      <w:r w:rsidRPr="009832FD">
        <w:rPr>
          <w:rFonts w:eastAsia="Times New Roman" w:cs="Times New Roman"/>
          <w:color w:val="1D1D1B"/>
          <w:kern w:val="0"/>
          <w:sz w:val="24"/>
          <w:szCs w:val="24"/>
          <w:lang w:eastAsia="es-UY"/>
          <w14:ligatures w14:val="none"/>
        </w:rPr>
        <w:t>uninacional</w:t>
      </w:r>
      <w:proofErr w:type="spellEnd"/>
      <w:r w:rsidRPr="009832FD">
        <w:rPr>
          <w:rFonts w:eastAsia="Times New Roman" w:cs="Times New Roman"/>
          <w:color w:val="1D1D1B"/>
          <w:kern w:val="0"/>
          <w:sz w:val="24"/>
          <w:szCs w:val="24"/>
          <w:lang w:eastAsia="es-UY"/>
          <w14:ligatures w14:val="none"/>
        </w:rPr>
        <w:t>”. Por el contrario, es una antigua sociedad plurinacional (no solo pluricultural) que sobre esa base social plurinacional, debería proyectarse hacia el Estado, para su adecuación como un Estado Plurinacional.</w:t>
      </w:r>
    </w:p>
    <w:p w14:paraId="5DAE21A7"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 xml:space="preserve">Las experiencias de Bolivia, Ecuador, Venezuela, Canadá y Nueva Zelanda indican que esto es indispensable, viable y realizable. Pero también, que no basta con constitucionalizarlo, porque la </w:t>
      </w:r>
      <w:proofErr w:type="spellStart"/>
      <w:r w:rsidRPr="009832FD">
        <w:rPr>
          <w:rFonts w:eastAsia="Times New Roman" w:cs="Times New Roman"/>
          <w:color w:val="1D1D1B"/>
          <w:kern w:val="0"/>
          <w:sz w:val="24"/>
          <w:szCs w:val="24"/>
          <w:lang w:eastAsia="es-UY"/>
          <w14:ligatures w14:val="none"/>
        </w:rPr>
        <w:t>colonialidad</w:t>
      </w:r>
      <w:proofErr w:type="spellEnd"/>
      <w:r w:rsidRPr="009832FD">
        <w:rPr>
          <w:rFonts w:eastAsia="Times New Roman" w:cs="Times New Roman"/>
          <w:color w:val="1D1D1B"/>
          <w:kern w:val="0"/>
          <w:sz w:val="24"/>
          <w:szCs w:val="24"/>
          <w:lang w:eastAsia="es-UY"/>
          <w14:ligatures w14:val="none"/>
        </w:rPr>
        <w:t xml:space="preserve"> del poder tiñe la subjetividad social y genera múltiples mecanismos de opresión. Sin embargo, la persistencia de la autonomía indígena demanda la capacidad del pueblo indígena para ejercer su autogobierno “de hecho”, principalmente, y “de derecho”, paralelamente. Los procesos de los autogobiernos territoriales pueden fortalecerse mediante los aportes de las teorías sociales críticas referidas a la </w:t>
      </w:r>
      <w:proofErr w:type="spellStart"/>
      <w:r w:rsidRPr="009832FD">
        <w:rPr>
          <w:rFonts w:eastAsia="Times New Roman" w:cs="Times New Roman"/>
          <w:color w:val="1D1D1B"/>
          <w:kern w:val="0"/>
          <w:sz w:val="24"/>
          <w:szCs w:val="24"/>
          <w:lang w:eastAsia="es-UY"/>
          <w14:ligatures w14:val="none"/>
        </w:rPr>
        <w:t>descolonialidad</w:t>
      </w:r>
      <w:proofErr w:type="spellEnd"/>
      <w:r w:rsidRPr="009832FD">
        <w:rPr>
          <w:rFonts w:eastAsia="Times New Roman" w:cs="Times New Roman"/>
          <w:color w:val="1D1D1B"/>
          <w:kern w:val="0"/>
          <w:sz w:val="24"/>
          <w:szCs w:val="24"/>
          <w:lang w:eastAsia="es-UY"/>
          <w14:ligatures w14:val="none"/>
        </w:rPr>
        <w:t xml:space="preserve"> del poder y saber. </w:t>
      </w:r>
    </w:p>
    <w:p w14:paraId="7C4DE359"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color w:val="1D1D1B"/>
          <w:kern w:val="0"/>
          <w:sz w:val="24"/>
          <w:szCs w:val="24"/>
          <w:lang w:eastAsia="es-UY"/>
          <w14:ligatures w14:val="none"/>
        </w:rPr>
        <w:t>Los procesos autonómicos pueden ser reprimidos, desviados y hasta quizás eventualmente frenados o derrotados, pero llegaron para quedarse. Emergerán siempre, una y otra vez,  y no tienen vuelta atrás.</w:t>
      </w:r>
    </w:p>
    <w:p w14:paraId="5317CBCF" w14:textId="77777777" w:rsidR="009832FD" w:rsidRPr="009832FD" w:rsidRDefault="009832FD" w:rsidP="009832FD">
      <w:pPr>
        <w:shd w:val="clear" w:color="auto" w:fill="FFFFFF"/>
        <w:spacing w:after="100" w:afterAutospacing="1" w:line="240" w:lineRule="auto"/>
        <w:jc w:val="both"/>
        <w:rPr>
          <w:rFonts w:eastAsia="Times New Roman" w:cs="Times New Roman"/>
          <w:color w:val="1D1D1B"/>
          <w:kern w:val="0"/>
          <w:sz w:val="24"/>
          <w:szCs w:val="24"/>
          <w:lang w:eastAsia="es-UY"/>
          <w14:ligatures w14:val="none"/>
        </w:rPr>
      </w:pPr>
      <w:r w:rsidRPr="009832FD">
        <w:rPr>
          <w:rFonts w:eastAsia="Times New Roman" w:cs="Times New Roman"/>
          <w:b/>
          <w:bCs/>
          <w:color w:val="1D1D1B"/>
          <w:kern w:val="0"/>
          <w:sz w:val="24"/>
          <w:szCs w:val="24"/>
          <w:lang w:eastAsia="es-UY"/>
          <w14:ligatures w14:val="none"/>
        </w:rPr>
        <w:t>Una primera versión se publicó en la revista “Comunes” en marzo 2024</w:t>
      </w:r>
      <w:r w:rsidRPr="009832FD">
        <w:rPr>
          <w:rFonts w:eastAsia="Times New Roman" w:cs="Times New Roman"/>
          <w:color w:val="1D1D1B"/>
          <w:kern w:val="0"/>
          <w:sz w:val="24"/>
          <w:szCs w:val="24"/>
          <w:lang w:eastAsia="es-UY"/>
          <w14:ligatures w14:val="none"/>
        </w:rPr>
        <w:t>.</w:t>
      </w:r>
    </w:p>
    <w:p w14:paraId="52F2B56A" w14:textId="77777777" w:rsidR="009832FD" w:rsidRPr="009832FD" w:rsidRDefault="009832FD" w:rsidP="009832FD">
      <w:pPr>
        <w:shd w:val="clear" w:color="auto" w:fill="FFFFFF"/>
        <w:spacing w:after="0" w:line="240" w:lineRule="auto"/>
        <w:rPr>
          <w:rFonts w:ascii="Times New Roman" w:eastAsia="Times New Roman" w:hAnsi="Times New Roman" w:cs="Times New Roman"/>
          <w:color w:val="2B7AAA"/>
          <w:kern w:val="0"/>
          <w:sz w:val="24"/>
          <w:szCs w:val="24"/>
          <w:lang w:eastAsia="es-UY"/>
          <w14:ligatures w14:val="none"/>
        </w:rPr>
      </w:pPr>
      <w:r w:rsidRPr="009832FD">
        <w:rPr>
          <w:rFonts w:ascii="Times New Roman" w:eastAsia="Times New Roman" w:hAnsi="Times New Roman" w:cs="Times New Roman"/>
          <w:noProof/>
          <w:color w:val="2B7AAA"/>
          <w:kern w:val="0"/>
          <w:sz w:val="24"/>
          <w:szCs w:val="24"/>
          <w:lang w:eastAsia="es-UY"/>
          <w14:ligatures w14:val="none"/>
        </w:rPr>
        <w:drawing>
          <wp:inline distT="0" distB="0" distL="0" distR="0" wp14:anchorId="29CC41B8" wp14:editId="1C01FEAC">
            <wp:extent cx="952500" cy="952500"/>
            <wp:effectExtent l="0" t="0" r="0" b="0"/>
            <wp:docPr id="6" name="Imagen 1" descr="Roberto Espinoza">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berto Espinoza">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4268EF4" w14:textId="77777777" w:rsidR="009832FD" w:rsidRPr="009832FD" w:rsidRDefault="009832FD" w:rsidP="009832FD">
      <w:pPr>
        <w:shd w:val="clear" w:color="auto" w:fill="FFFFFF"/>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37" w:history="1">
        <w:r w:rsidRPr="009832FD">
          <w:rPr>
            <w:rFonts w:ascii="Times New Roman" w:eastAsia="Times New Roman" w:hAnsi="Times New Roman" w:cs="Times New Roman"/>
            <w:b/>
            <w:bCs/>
            <w:color w:val="2B7AAA"/>
            <w:kern w:val="0"/>
            <w:sz w:val="24"/>
            <w:szCs w:val="24"/>
            <w:lang w:eastAsia="es-UY"/>
            <w14:ligatures w14:val="none"/>
          </w:rPr>
          <w:t>Roberto Espinoza </w:t>
        </w:r>
      </w:hyperlink>
      <w:r w:rsidRPr="009832FD">
        <w:rPr>
          <w:rFonts w:ascii="Times New Roman" w:eastAsia="Times New Roman" w:hAnsi="Times New Roman" w:cs="Times New Roman"/>
          <w:color w:val="2B7AAA"/>
          <w:kern w:val="0"/>
          <w:sz w:val="24"/>
          <w:szCs w:val="24"/>
          <w:lang w:eastAsia="es-UY"/>
          <w14:ligatures w14:val="none"/>
        </w:rPr>
        <w:t xml:space="preserve">es sociólogo peruano, colaborador de organizaciones indígenas y miembro de la Red </w:t>
      </w:r>
      <w:proofErr w:type="spellStart"/>
      <w:r w:rsidRPr="009832FD">
        <w:rPr>
          <w:rFonts w:ascii="Times New Roman" w:eastAsia="Times New Roman" w:hAnsi="Times New Roman" w:cs="Times New Roman"/>
          <w:color w:val="2B7AAA"/>
          <w:kern w:val="0"/>
          <w:sz w:val="24"/>
          <w:szCs w:val="24"/>
          <w:lang w:eastAsia="es-UY"/>
          <w14:ligatures w14:val="none"/>
        </w:rPr>
        <w:t>Descolonialidad</w:t>
      </w:r>
      <w:proofErr w:type="spellEnd"/>
      <w:r w:rsidRPr="009832FD">
        <w:rPr>
          <w:rFonts w:ascii="Times New Roman" w:eastAsia="Times New Roman" w:hAnsi="Times New Roman" w:cs="Times New Roman"/>
          <w:color w:val="2B7AAA"/>
          <w:kern w:val="0"/>
          <w:sz w:val="24"/>
          <w:szCs w:val="24"/>
          <w:lang w:eastAsia="es-UY"/>
          <w14:ligatures w14:val="none"/>
        </w:rPr>
        <w:t xml:space="preserve"> y Autogobierno. Se puede ingresar a la red aquí: https://www.facebook.com/descolonialidad</w:t>
      </w:r>
    </w:p>
    <w:p w14:paraId="7BB87255" w14:textId="148A92DF" w:rsidR="00926044" w:rsidRDefault="009832FD">
      <w:hyperlink r:id="rId38" w:history="1">
        <w:r w:rsidRPr="001B1B8C">
          <w:rPr>
            <w:rStyle w:val="Hipervnculo"/>
          </w:rPr>
          <w:t>https://debatesindigenas.org/2024/10/01/colonialidad-del-poder-y-autogobiernos-territoriales/</w:t>
        </w:r>
      </w:hyperlink>
    </w:p>
    <w:p w14:paraId="676739AB" w14:textId="77777777" w:rsidR="009832FD" w:rsidRDefault="009832FD"/>
    <w:sectPr w:rsidR="009832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FD"/>
    <w:rsid w:val="007B4E6C"/>
    <w:rsid w:val="00926044"/>
    <w:rsid w:val="009832F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CE29"/>
  <w15:chartTrackingRefBased/>
  <w15:docId w15:val="{D0CA3BEF-9C25-4B62-B087-00571126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32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32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32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32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32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32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32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32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32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32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32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32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32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32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32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32FD"/>
    <w:rPr>
      <w:rFonts w:eastAsiaTheme="majorEastAsia" w:cstheme="majorBidi"/>
      <w:color w:val="272727" w:themeColor="text1" w:themeTint="D8"/>
    </w:rPr>
  </w:style>
  <w:style w:type="paragraph" w:styleId="Ttulo">
    <w:name w:val="Title"/>
    <w:basedOn w:val="Normal"/>
    <w:next w:val="Normal"/>
    <w:link w:val="TtuloCar"/>
    <w:uiPriority w:val="10"/>
    <w:qFormat/>
    <w:rsid w:val="00983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3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32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32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32FD"/>
    <w:pPr>
      <w:spacing w:before="160"/>
      <w:jc w:val="center"/>
    </w:pPr>
    <w:rPr>
      <w:i/>
      <w:iCs/>
      <w:color w:val="404040" w:themeColor="text1" w:themeTint="BF"/>
    </w:rPr>
  </w:style>
  <w:style w:type="character" w:customStyle="1" w:styleId="CitaCar">
    <w:name w:val="Cita Car"/>
    <w:basedOn w:val="Fuentedeprrafopredeter"/>
    <w:link w:val="Cita"/>
    <w:uiPriority w:val="29"/>
    <w:rsid w:val="009832FD"/>
    <w:rPr>
      <w:i/>
      <w:iCs/>
      <w:color w:val="404040" w:themeColor="text1" w:themeTint="BF"/>
    </w:rPr>
  </w:style>
  <w:style w:type="paragraph" w:styleId="Prrafodelista">
    <w:name w:val="List Paragraph"/>
    <w:basedOn w:val="Normal"/>
    <w:uiPriority w:val="34"/>
    <w:qFormat/>
    <w:rsid w:val="009832FD"/>
    <w:pPr>
      <w:ind w:left="720"/>
      <w:contextualSpacing/>
    </w:pPr>
  </w:style>
  <w:style w:type="character" w:styleId="nfasisintenso">
    <w:name w:val="Intense Emphasis"/>
    <w:basedOn w:val="Fuentedeprrafopredeter"/>
    <w:uiPriority w:val="21"/>
    <w:qFormat/>
    <w:rsid w:val="009832FD"/>
    <w:rPr>
      <w:i/>
      <w:iCs/>
      <w:color w:val="0F4761" w:themeColor="accent1" w:themeShade="BF"/>
    </w:rPr>
  </w:style>
  <w:style w:type="paragraph" w:styleId="Citadestacada">
    <w:name w:val="Intense Quote"/>
    <w:basedOn w:val="Normal"/>
    <w:next w:val="Normal"/>
    <w:link w:val="CitadestacadaCar"/>
    <w:uiPriority w:val="30"/>
    <w:qFormat/>
    <w:rsid w:val="0098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32FD"/>
    <w:rPr>
      <w:i/>
      <w:iCs/>
      <w:color w:val="0F4761" w:themeColor="accent1" w:themeShade="BF"/>
    </w:rPr>
  </w:style>
  <w:style w:type="character" w:styleId="Referenciaintensa">
    <w:name w:val="Intense Reference"/>
    <w:basedOn w:val="Fuentedeprrafopredeter"/>
    <w:uiPriority w:val="32"/>
    <w:qFormat/>
    <w:rsid w:val="009832FD"/>
    <w:rPr>
      <w:b/>
      <w:bCs/>
      <w:smallCaps/>
      <w:color w:val="0F4761" w:themeColor="accent1" w:themeShade="BF"/>
      <w:spacing w:val="5"/>
    </w:rPr>
  </w:style>
  <w:style w:type="character" w:styleId="Hipervnculo">
    <w:name w:val="Hyperlink"/>
    <w:basedOn w:val="Fuentedeprrafopredeter"/>
    <w:uiPriority w:val="99"/>
    <w:unhideWhenUsed/>
    <w:rsid w:val="009832FD"/>
    <w:rPr>
      <w:color w:val="467886" w:themeColor="hyperlink"/>
      <w:u w:val="single"/>
    </w:rPr>
  </w:style>
  <w:style w:type="character" w:styleId="Mencinsinresolver">
    <w:name w:val="Unresolved Mention"/>
    <w:basedOn w:val="Fuentedeprrafopredeter"/>
    <w:uiPriority w:val="99"/>
    <w:semiHidden/>
    <w:unhideWhenUsed/>
    <w:rsid w:val="00983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029996">
      <w:bodyDiv w:val="1"/>
      <w:marLeft w:val="0"/>
      <w:marRight w:val="0"/>
      <w:marTop w:val="0"/>
      <w:marBottom w:val="0"/>
      <w:divBdr>
        <w:top w:val="none" w:sz="0" w:space="0" w:color="auto"/>
        <w:left w:val="none" w:sz="0" w:space="0" w:color="auto"/>
        <w:bottom w:val="none" w:sz="0" w:space="0" w:color="auto"/>
        <w:right w:val="none" w:sz="0" w:space="0" w:color="auto"/>
      </w:divBdr>
    </w:div>
    <w:div w:id="1585727355">
      <w:bodyDiv w:val="1"/>
      <w:marLeft w:val="0"/>
      <w:marRight w:val="0"/>
      <w:marTop w:val="0"/>
      <w:marBottom w:val="0"/>
      <w:divBdr>
        <w:top w:val="none" w:sz="0" w:space="0" w:color="auto"/>
        <w:left w:val="none" w:sz="0" w:space="0" w:color="auto"/>
        <w:bottom w:val="none" w:sz="0" w:space="0" w:color="auto"/>
        <w:right w:val="none" w:sz="0" w:space="0" w:color="auto"/>
      </w:divBdr>
      <w:divsChild>
        <w:div w:id="1500922041">
          <w:marLeft w:val="0"/>
          <w:marRight w:val="0"/>
          <w:marTop w:val="0"/>
          <w:marBottom w:val="0"/>
          <w:divBdr>
            <w:top w:val="none" w:sz="0" w:space="0" w:color="auto"/>
            <w:left w:val="none" w:sz="0" w:space="0" w:color="auto"/>
            <w:bottom w:val="none" w:sz="0" w:space="0" w:color="auto"/>
            <w:right w:val="none" w:sz="0" w:space="0" w:color="auto"/>
          </w:divBdr>
        </w:div>
        <w:div w:id="133832985">
          <w:marLeft w:val="0"/>
          <w:marRight w:val="0"/>
          <w:marTop w:val="0"/>
          <w:marBottom w:val="0"/>
          <w:divBdr>
            <w:top w:val="none" w:sz="0" w:space="0" w:color="auto"/>
            <w:left w:val="none" w:sz="0" w:space="0" w:color="auto"/>
            <w:bottom w:val="none" w:sz="0" w:space="0" w:color="auto"/>
            <w:right w:val="none" w:sz="0" w:space="0" w:color="auto"/>
          </w:divBdr>
          <w:divsChild>
            <w:div w:id="524902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58050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62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nu.ca/en" TargetMode="External"/><Relationship Id="rId18" Type="http://schemas.openxmlformats.org/officeDocument/2006/relationships/image" Target="media/image2.jpeg"/><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hyperlink" Target="https://gtaawajun.org.pe/resolucion-de-las-naciones-originarias-frente-al-petroleo-en-sus-territorios/" TargetMode="External"/><Relationship Id="rId34" Type="http://schemas.openxmlformats.org/officeDocument/2006/relationships/image" Target="media/image5.jpeg"/><Relationship Id="rId7" Type="http://schemas.openxmlformats.org/officeDocument/2006/relationships/hyperlink" Target="https://www.coshikox.pe/" TargetMode="External"/><Relationship Id="rId12" Type="http://schemas.openxmlformats.org/officeDocument/2006/relationships/hyperlink" Target="https://www.iwgia.org/es/kalaallit-nunaat-groenlandia/5114-mi-2023-kalaallit-nunaat-groenlandia.html" TargetMode="External"/><Relationship Id="rId17" Type="http://schemas.openxmlformats.org/officeDocument/2006/relationships/hyperlink" Target="https://revistas.uncu.edu.ar/ojs3/index.php/mel/article/download/5405/4690/23744" TargetMode="External"/><Relationship Id="rId25" Type="http://schemas.openxmlformats.org/officeDocument/2006/relationships/hyperlink" Target="https://revistas.uncu.edu.ar/ojs/index.php/mel/article/view/5405" TargetMode="External"/><Relationship Id="rId33" Type="http://schemas.openxmlformats.org/officeDocument/2006/relationships/hyperlink" Target="https://gtaawajun.org.pe/borrador-codigo-de-justicia-comunitaria-awajun/" TargetMode="External"/><Relationship Id="rId38" Type="http://schemas.openxmlformats.org/officeDocument/2006/relationships/hyperlink" Target="https://debatesindigenas.org/2024/10/01/colonialidad-del-poder-y-autogobiernos-territoriales/" TargetMode="External"/><Relationship Id="rId2" Type="http://schemas.openxmlformats.org/officeDocument/2006/relationships/settings" Target="settings.xml"/><Relationship Id="rId16" Type="http://schemas.openxmlformats.org/officeDocument/2006/relationships/hyperlink" Target="https://desinformemonos.org/acapatzingo-el-otro-mundo-en-medio-de-la-ciudad/" TargetMode="External"/><Relationship Id="rId20" Type="http://schemas.openxmlformats.org/officeDocument/2006/relationships/hyperlink" Target="https://nacionwampis.com/pronunciamiento-no-al-infierno-de-la-mineria-aurifera-porque-defendemos-la-vida/" TargetMode="External"/><Relationship Id="rId29" Type="http://schemas.openxmlformats.org/officeDocument/2006/relationships/hyperlink" Target="https://leyes.congreso.gob.pe/Documentos/2016_2021/Proyectos_de_Ley_y_de_Resoluciones_Legislativas/PL07639-20210505.pdf" TargetMode="External"/><Relationship Id="rId1" Type="http://schemas.openxmlformats.org/officeDocument/2006/relationships/styles" Target="styles.xml"/><Relationship Id="rId6" Type="http://schemas.openxmlformats.org/officeDocument/2006/relationships/hyperlink" Target="https://www.facebook.com/FenapPeru/" TargetMode="External"/><Relationship Id="rId11" Type="http://schemas.openxmlformats.org/officeDocument/2006/relationships/image" Target="media/image1.jpeg"/><Relationship Id="rId24" Type="http://schemas.openxmlformats.org/officeDocument/2006/relationships/hyperlink" Target="https://nacionwampis.com/el-gobierno-territorial-autonomo-de-la-nacion-wampis-publico-su-protocolo-de-relacionamiento-con-el-estado-peruano/" TargetMode="External"/><Relationship Id="rId32" Type="http://schemas.openxmlformats.org/officeDocument/2006/relationships/hyperlink" Target="https://gtaawajun.org.pe/wp-content/uploads/2023/11/ROF-GTAA-VF-ORDENANZA-1.pdf" TargetMode="External"/><Relationship Id="rId37" Type="http://schemas.openxmlformats.org/officeDocument/2006/relationships/hyperlink" Target="https://debatesindigenas.org/author/roberto-espinoza/" TargetMode="External"/><Relationship Id="rId40" Type="http://schemas.openxmlformats.org/officeDocument/2006/relationships/theme" Target="theme/theme1.xml"/><Relationship Id="rId5" Type="http://schemas.openxmlformats.org/officeDocument/2006/relationships/hyperlink" Target="https://gtaawajun.org.pe/" TargetMode="External"/><Relationship Id="rId15" Type="http://schemas.openxmlformats.org/officeDocument/2006/relationships/hyperlink" Target="https://www.cheran.gob.mx/gobierno/manual-de-gobierno-comunal" TargetMode="External"/><Relationship Id="rId23" Type="http://schemas.openxmlformats.org/officeDocument/2006/relationships/hyperlink" Target="https://nacionwampis.com/wp-content/uploads/2021/10/Pacto-Wampis-Naturaleza-Perpetua.pdf" TargetMode="External"/><Relationship Id="rId28" Type="http://schemas.openxmlformats.org/officeDocument/2006/relationships/hyperlink" Target="https://aplicaciones02.regionloreto.gob.pe/sites/default/files/normativa_regional/ordenanza_regional_ndeg_014-2017-grl-cr.pdf" TargetMode="External"/><Relationship Id="rId36" Type="http://schemas.openxmlformats.org/officeDocument/2006/relationships/image" Target="media/image6.jpeg"/><Relationship Id="rId10" Type="http://schemas.openxmlformats.org/officeDocument/2006/relationships/hyperlink" Target="https://aidesep.org.pe/wp-content/uploads/2023/10/Minga-de-Territorialidad-FINAL-2.pdf" TargetMode="External"/><Relationship Id="rId19" Type="http://schemas.openxmlformats.org/officeDocument/2006/relationships/hyperlink" Target="https://debatesindigenas.org/2022/09/01/cumbre-indigena-en-colombia-la-unidad-se-construye-desde-la-cocina/" TargetMode="External"/><Relationship Id="rId31" Type="http://schemas.openxmlformats.org/officeDocument/2006/relationships/hyperlink" Target="https://gtaawajun.org.pe/wp-content/uploads/2022/07/estatuto-awajun-oficial3-1.pdf" TargetMode="External"/><Relationship Id="rId4" Type="http://schemas.openxmlformats.org/officeDocument/2006/relationships/hyperlink" Target="https://nacionwampis.com/" TargetMode="External"/><Relationship Id="rId9" Type="http://schemas.openxmlformats.org/officeDocument/2006/relationships/hyperlink" Target="https://aidesep.org.pe/noticias/pronunciamiento-modificatoria-de-la-ley-forestal-y-de-fauna-silvestre-vulnera-derechos-colectivos-de-los-pueblos-indigenas-y-pone-en-riesgo-la-amazonia/" TargetMode="External"/><Relationship Id="rId14" Type="http://schemas.openxmlformats.org/officeDocument/2006/relationships/hyperlink" Target="https://www.cric-colombia.org/portal/proyecto-politico/componentes/" TargetMode="External"/><Relationship Id="rId22" Type="http://schemas.openxmlformats.org/officeDocument/2006/relationships/image" Target="media/image3.jpeg"/><Relationship Id="rId27" Type="http://schemas.openxmlformats.org/officeDocument/2006/relationships/hyperlink" Target="https://nacionwampis.com/gobierno-territorial-autonomo-de-la-nacion-wampis-a-la-opinion-publica-sobre-expulsion-de-mineros-ilegales-de-la-zona-sagrada-paish-nain/" TargetMode="External"/><Relationship Id="rId30" Type="http://schemas.openxmlformats.org/officeDocument/2006/relationships/hyperlink" Target="https://nacionwampis.com/wp-content/uploads/2017/05/estatuto-constitutivo-del-gobierno-territorial-autc3b3nomo-de-la-nacic3b3n-wampc3ads.pdf" TargetMode="External"/><Relationship Id="rId35" Type="http://schemas.openxmlformats.org/officeDocument/2006/relationships/hyperlink" Target="https://debatesindigenas.org/author/roberto-espinoza/" TargetMode="External"/><Relationship Id="rId8" Type="http://schemas.openxmlformats.org/officeDocument/2006/relationships/hyperlink" Target="https://cedia.org.pe/es/cediaopina/en-el-mes-de-los-pueblos-indigenas-recordemos-la-larga-lucha-del-pueblo-matses-en-la-defensa-de-su-territorio/"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2844</Words>
  <Characters>15646</Characters>
  <Application>Microsoft Office Word</Application>
  <DocSecurity>0</DocSecurity>
  <Lines>130</Lines>
  <Paragraphs>36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2024-10-03T14:59:00Z</dcterms:created>
  <dcterms:modified xsi:type="dcterms:W3CDTF">2024-10-03T15:02:00Z</dcterms:modified>
</cp:coreProperties>
</file>