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32E39" w14:textId="77777777" w:rsidR="004249C8" w:rsidRPr="004249C8" w:rsidRDefault="004249C8" w:rsidP="004249C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249C8">
        <w:rPr>
          <w:rFonts w:ascii="Arial" w:eastAsia="Times New Roman" w:hAnsi="Arial" w:cs="Arial"/>
          <w:b/>
          <w:bCs/>
          <w:color w:val="222222"/>
          <w:kern w:val="0"/>
          <w:sz w:val="32"/>
          <w:szCs w:val="32"/>
          <w:lang w:val="es-MX" w:eastAsia="es-UY"/>
          <w14:ligatures w14:val="none"/>
        </w:rPr>
        <w:t>Una mirada no económica al celibato</w:t>
      </w:r>
    </w:p>
    <w:p w14:paraId="53210348" w14:textId="77777777" w:rsidR="004249C8" w:rsidRPr="004249C8" w:rsidRDefault="004249C8" w:rsidP="004249C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4249C8">
        <w:rPr>
          <w:rFonts w:ascii="Arial" w:eastAsia="Times New Roman" w:hAnsi="Arial" w:cs="Arial"/>
          <w:i/>
          <w:iCs/>
          <w:color w:val="222222"/>
          <w:kern w:val="0"/>
          <w:sz w:val="24"/>
          <w:szCs w:val="24"/>
          <w:lang w:val="es-MX" w:eastAsia="es-UY"/>
          <w14:ligatures w14:val="none"/>
        </w:rPr>
        <w:t>Eduardo de la Serna</w:t>
      </w:r>
    </w:p>
    <w:p w14:paraId="3487B6B0" w14:textId="77777777" w:rsidR="004249C8" w:rsidRPr="004249C8" w:rsidRDefault="004249C8" w:rsidP="004249C8">
      <w:pPr>
        <w:shd w:val="clear" w:color="auto" w:fill="FFFFFF"/>
        <w:spacing w:after="0" w:line="240" w:lineRule="auto"/>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MX" w:eastAsia="es-UY"/>
          <w14:ligatures w14:val="none"/>
        </w:rPr>
        <w:t> </w:t>
      </w:r>
    </w:p>
    <w:p w14:paraId="557851B5" w14:textId="43673764" w:rsidR="004249C8" w:rsidRPr="004249C8" w:rsidRDefault="004249C8" w:rsidP="004249C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3B480C0E" wp14:editId="3CA1A1CD">
            <wp:extent cx="3733800" cy="1866900"/>
            <wp:effectExtent l="0" t="0" r="0" b="0"/>
            <wp:docPr id="9599060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33800" cy="1866900"/>
                    </a:xfrm>
                    <a:prstGeom prst="rect">
                      <a:avLst/>
                    </a:prstGeom>
                    <a:noFill/>
                  </pic:spPr>
                </pic:pic>
              </a:graphicData>
            </a:graphic>
          </wp:inline>
        </w:drawing>
      </w:r>
    </w:p>
    <w:p w14:paraId="03E36972" w14:textId="77777777" w:rsidR="004249C8" w:rsidRPr="004249C8" w:rsidRDefault="004249C8" w:rsidP="004249C8">
      <w:pPr>
        <w:shd w:val="clear" w:color="auto" w:fill="FFFFFF"/>
        <w:spacing w:after="0" w:line="240" w:lineRule="auto"/>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MX" w:eastAsia="es-UY"/>
          <w14:ligatures w14:val="none"/>
        </w:rPr>
        <w:t> </w:t>
      </w:r>
    </w:p>
    <w:p w14:paraId="4650E1FA"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MX" w:eastAsia="es-UY"/>
          <w14:ligatures w14:val="none"/>
        </w:rPr>
        <w:t>Con mucha frecuencia se escucha decir que el celibato de los curas surge a partir de intencionalidades económicas de la Iglesia. Es decir, para evitar que los bienes se disuelvan en herencias. No negaré que en muchas ocasiones algo (o mucho) de esto puede haber habido, pero no creo que lo económico esté en el origen de una institución que todavía hoy se resiste a ser removida (cuando lo económico no significaría nada, como ocurre en nuestros tiempos).</w:t>
      </w:r>
    </w:p>
    <w:p w14:paraId="27FA0A11"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MX" w:eastAsia="es-UY"/>
          <w14:ligatures w14:val="none"/>
        </w:rPr>
        <w:t> </w:t>
      </w:r>
    </w:p>
    <w:p w14:paraId="3E60E446"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MX" w:eastAsia="es-UY"/>
          <w14:ligatures w14:val="none"/>
        </w:rPr>
        <w:t>Creo que el origen (que, insisto, con el tiempo puede haber tenido nuevas razones o argumentaciones de las que no excluyo lo económico) radica en la intrusión del helenismo (particularmente platónico) en el pensamiento y el lenguaje eclesial.</w:t>
      </w:r>
    </w:p>
    <w:p w14:paraId="262230D1"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ES_tradnl" w:eastAsia="es-UY"/>
          <w14:ligatures w14:val="none"/>
        </w:rPr>
        <w:t> </w:t>
      </w:r>
    </w:p>
    <w:p w14:paraId="08B77E2C"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ES_tradnl" w:eastAsia="es-UY"/>
          <w14:ligatures w14:val="none"/>
        </w:rPr>
        <w:t>Es evidente que el mundo de la Biblia es semita, pero a medida que el Evangelio se comienza a expandir por el mundo (Imperio Romano) la incomprensión que ya significaba el judaísmo para el ambiente (monoteísmo, libro sagrado, comidas prohibidas, días consagrados, etc.) se agravan con elementos idénticos a los cuales se añaden novedades (exaltación de un crucificado, insistencia en la resurrección “de los cuerpos”, fraternidad y sororidad universal, etc.). Esta incomprensión tuvo diferentes matices: desde el desprecio, el destierro a la persecución y el martirio. Los cristianos, asimismo, enfrentaron esto de muy diversas maneras: migraciones, intentos de adaptación, aceptación del martirio, apologías, etc. (dejo de lado, que también fueron frecuentes, las actitudes de abandonar la fe en aras a las dificultades y violencias padecidas). Lo que aquí pretendo señalar es el surgimiento de numerosos escritos “apologéticos”. En verdad, estos no pretendían tanto que los paganos comprendieran el cristianismo como que los cristianos tuvieran elementos para la resistencia, pero lo cierto es que proliferaron (de hecho, el segundo gran grupo de Padres de la Iglesia, luego de los llamados “Apostólicos”, por su cercanía a los tiempos de los discípulos de Jesús, fueron los “Padres Apologetas”).</w:t>
      </w:r>
    </w:p>
    <w:p w14:paraId="027012F6"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ES_tradnl" w:eastAsia="es-UY"/>
          <w14:ligatures w14:val="none"/>
        </w:rPr>
        <w:t> </w:t>
      </w:r>
    </w:p>
    <w:p w14:paraId="20942AF4"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ES_tradnl" w:eastAsia="es-UY"/>
          <w14:ligatures w14:val="none"/>
        </w:rPr>
        <w:t xml:space="preserve">Aquí juega un rol importantísimo un gran escritor: Justino (nacido a principios del s. II y martirizado en la década del 60). De buena formación filosófica en Roma, luego de su conversión al cristianismo publica sus dos Apologías (escritas en la primera mitad de la década del 50). Lo que aquí nos interesa es que Justino logra presentar el mensaje cristiano en un contexto y esquema platónico intentando </w:t>
      </w:r>
      <w:r w:rsidRPr="004249C8">
        <w:rPr>
          <w:rFonts w:ascii="Arial" w:eastAsia="Times New Roman" w:hAnsi="Arial" w:cs="Arial"/>
          <w:color w:val="222222"/>
          <w:kern w:val="0"/>
          <w:sz w:val="24"/>
          <w:szCs w:val="24"/>
          <w:lang w:val="es-ES_tradnl" w:eastAsia="es-UY"/>
          <w14:ligatures w14:val="none"/>
        </w:rPr>
        <w:lastRenderedPageBreak/>
        <w:t>explicitar la sensatez del Evangelio. Se puede afirmar que, a partir de sus escritos es que entra el helenismo en el ambiente eclesial. Y en lo antropológico, el helenismo es claramente dualista, cosa que el mundo semita ¡no es! La división “cuerpo – alma” es totalmente ajena al mundo bíblico.</w:t>
      </w:r>
    </w:p>
    <w:p w14:paraId="6F40A656"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ES_tradnl" w:eastAsia="es-UY"/>
          <w14:ligatures w14:val="none"/>
        </w:rPr>
        <w:t> </w:t>
      </w:r>
    </w:p>
    <w:p w14:paraId="1E3A1DF7"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ES_tradnl" w:eastAsia="es-UY"/>
          <w14:ligatures w14:val="none"/>
        </w:rPr>
        <w:t>A esto debe sumarse un elemento que es propio en gran cantidad de culturas (no solamente mediterráneas): para “entrar” en el ambiente divino, es necesaria una “purificación de los sentidos” (esto no implica solamente lo sexual, sino también la comida y la bebida, por ejemplo). Para enfrentar una batalla que se espera sea conducida por Dios, el ejército debe estar “puro”; para realizar una ofrenda, el sacerdote debe estar “puro” (cf. Ex 19,15.22; 1 Sam 21,5-6; 2 Sam 11,11; 1 QM 7,3-6; Yoma 1,1-8; 8,1). Debe tenerse en cuenta que se trata de “impureza”, es decir, mancha, no de pecado. Se trata de algo ritual; es “vista más que nada como una ‘contra indicación litúrgica’ temporánea”.</w:t>
      </w:r>
      <w:bookmarkStart w:id="0" w:name="m_-4167663191601989951__ftnref1"/>
      <w:r w:rsidRPr="004249C8">
        <w:rPr>
          <w:rFonts w:ascii="Arial" w:eastAsia="Times New Roman" w:hAnsi="Arial" w:cs="Arial"/>
          <w:color w:val="222222"/>
          <w:kern w:val="0"/>
          <w:sz w:val="24"/>
          <w:szCs w:val="24"/>
          <w:lang w:val="es-ES_tradnl" w:eastAsia="es-UY"/>
          <w14:ligatures w14:val="none"/>
        </w:rPr>
        <w:fldChar w:fldCharType="begin"/>
      </w:r>
      <w:r w:rsidRPr="004249C8">
        <w:rPr>
          <w:rFonts w:ascii="Arial" w:eastAsia="Times New Roman" w:hAnsi="Arial" w:cs="Arial"/>
          <w:color w:val="222222"/>
          <w:kern w:val="0"/>
          <w:sz w:val="24"/>
          <w:szCs w:val="24"/>
          <w:lang w:val="es-ES_tradnl" w:eastAsia="es-UY"/>
          <w14:ligatures w14:val="none"/>
        </w:rPr>
        <w:instrText>HYPERLINK "https://mail.google.com/mail/u/1/" \l "m_-4167663191601989951__ftn1" \o ""</w:instrText>
      </w:r>
      <w:r w:rsidRPr="004249C8">
        <w:rPr>
          <w:rFonts w:ascii="Arial" w:eastAsia="Times New Roman" w:hAnsi="Arial" w:cs="Arial"/>
          <w:color w:val="222222"/>
          <w:kern w:val="0"/>
          <w:sz w:val="24"/>
          <w:szCs w:val="24"/>
          <w:lang w:val="es-ES_tradnl" w:eastAsia="es-UY"/>
          <w14:ligatures w14:val="none"/>
        </w:rPr>
      </w:r>
      <w:r w:rsidRPr="004249C8">
        <w:rPr>
          <w:rFonts w:ascii="Arial" w:eastAsia="Times New Roman" w:hAnsi="Arial" w:cs="Arial"/>
          <w:color w:val="222222"/>
          <w:kern w:val="0"/>
          <w:sz w:val="24"/>
          <w:szCs w:val="24"/>
          <w:lang w:val="es-ES_tradnl" w:eastAsia="es-UY"/>
          <w14:ligatures w14:val="none"/>
        </w:rPr>
        <w:fldChar w:fldCharType="separate"/>
      </w:r>
      <w:r w:rsidRPr="004249C8">
        <w:rPr>
          <w:rFonts w:ascii="Calibri" w:eastAsia="Times New Roman" w:hAnsi="Calibri" w:cs="Calibri"/>
          <w:color w:val="1155CC"/>
          <w:kern w:val="0"/>
          <w:sz w:val="24"/>
          <w:szCs w:val="24"/>
          <w:u w:val="single"/>
          <w:vertAlign w:val="superscript"/>
          <w:lang w:val="es-ES_tradnl" w:eastAsia="es-UY"/>
          <w14:ligatures w14:val="none"/>
        </w:rPr>
        <w:t>[1]</w:t>
      </w:r>
      <w:r w:rsidRPr="004249C8">
        <w:rPr>
          <w:rFonts w:ascii="Arial" w:eastAsia="Times New Roman" w:hAnsi="Arial" w:cs="Arial"/>
          <w:color w:val="222222"/>
          <w:kern w:val="0"/>
          <w:sz w:val="24"/>
          <w:szCs w:val="24"/>
          <w:lang w:val="es-ES_tradnl" w:eastAsia="es-UY"/>
          <w14:ligatures w14:val="none"/>
        </w:rPr>
        <w:fldChar w:fldCharType="end"/>
      </w:r>
      <w:bookmarkEnd w:id="0"/>
    </w:p>
    <w:p w14:paraId="369C55C9"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ES_tradnl" w:eastAsia="es-UY"/>
          <w14:ligatures w14:val="none"/>
        </w:rPr>
        <w:t> </w:t>
      </w:r>
    </w:p>
    <w:p w14:paraId="2693DDAF"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ES_tradnl" w:eastAsia="es-UY"/>
          <w14:ligatures w14:val="none"/>
        </w:rPr>
        <w:t xml:space="preserve">En los textos bíblicos, que, como se dijo son semitas, no helénicos, sin embargo, hay dos textos que merecen nuestra atención: es importante, para ser precisos, señalar que </w:t>
      </w:r>
      <w:proofErr w:type="spellStart"/>
      <w:r w:rsidRPr="004249C8">
        <w:rPr>
          <w:rFonts w:ascii="Arial" w:eastAsia="Times New Roman" w:hAnsi="Arial" w:cs="Arial"/>
          <w:color w:val="222222"/>
          <w:kern w:val="0"/>
          <w:sz w:val="24"/>
          <w:szCs w:val="24"/>
          <w:lang w:val="es-ES_tradnl" w:eastAsia="es-UY"/>
          <w14:ligatures w14:val="none"/>
        </w:rPr>
        <w:t>Ap</w:t>
      </w:r>
      <w:proofErr w:type="spellEnd"/>
      <w:r w:rsidRPr="004249C8">
        <w:rPr>
          <w:rFonts w:ascii="Arial" w:eastAsia="Times New Roman" w:hAnsi="Arial" w:cs="Arial"/>
          <w:color w:val="222222"/>
          <w:kern w:val="0"/>
          <w:sz w:val="24"/>
          <w:szCs w:val="24"/>
          <w:lang w:val="es-ES_tradnl" w:eastAsia="es-UY"/>
          <w14:ligatures w14:val="none"/>
        </w:rPr>
        <w:t xml:space="preserve"> 14,4 señala los 144.000, que indica la totalidad de los salvados (12x12x1000). </w:t>
      </w:r>
      <w:r w:rsidRPr="004249C8">
        <w:rPr>
          <w:rFonts w:ascii="Arial" w:eastAsia="Times New Roman" w:hAnsi="Arial" w:cs="Arial"/>
          <w:color w:val="222222"/>
          <w:kern w:val="0"/>
          <w:sz w:val="24"/>
          <w:szCs w:val="24"/>
          <w:lang w:eastAsia="es-UY"/>
          <w14:ligatures w14:val="none"/>
        </w:rPr>
        <w:t>Su característica es el nombre que llevan escrito en la “</w:t>
      </w:r>
      <w:r w:rsidRPr="004249C8">
        <w:rPr>
          <w:rFonts w:ascii="Arial" w:eastAsia="Times New Roman" w:hAnsi="Arial" w:cs="Arial"/>
          <w:color w:val="222222"/>
          <w:kern w:val="0"/>
          <w:sz w:val="24"/>
          <w:szCs w:val="24"/>
          <w:u w:val="single"/>
          <w:lang w:eastAsia="es-UY"/>
          <w14:ligatures w14:val="none"/>
        </w:rPr>
        <w:t>frente</w:t>
      </w:r>
      <w:r w:rsidRPr="004249C8">
        <w:rPr>
          <w:rFonts w:ascii="Arial" w:eastAsia="Times New Roman" w:hAnsi="Arial" w:cs="Arial"/>
          <w:color w:val="222222"/>
          <w:kern w:val="0"/>
          <w:sz w:val="24"/>
          <w:szCs w:val="24"/>
          <w:lang w:eastAsia="es-UY"/>
          <w14:ligatures w14:val="none"/>
        </w:rPr>
        <w:t>”. Este grupo canta un canto nuevo (cf. Sal 95,1; 143,9), canto que nadie puede aprender fuera de los 144.000. Estos tienen tres características: “no se mancharon con mujeres pues son vírgenes”; “siguen al Cordero pues son rescatados” y “en su boca no se encontró mentira”. Lo que interesa en este primer caso, teniendo en cuenta que el tema es confuso, es – además de lo señalado – que, 1. No se indica que los 144.000 sean varones; 2. El Apocalipsis no se caracteriza por la misoginia; 3. En todo el Apocalipsis no se habla de celibato; 4. No se debe olvidar que fornicación y prostitución son signo de la idolatría, del mismo modo que virginidad o pureza lo son de fidelidad a Dios. Todo indica que la mención de las mujeres “se refiere a la idolatría del culto imperial”; Roma es “la gran prostituta”, con la que “han fornicado todos los reyes de la tierra”</w:t>
      </w:r>
      <w:r w:rsidRPr="004249C8">
        <w:rPr>
          <w:rFonts w:ascii="Arial" w:eastAsia="Times New Roman" w:hAnsi="Arial" w:cs="Arial"/>
          <w:color w:val="222222"/>
          <w:kern w:val="0"/>
          <w:sz w:val="24"/>
          <w:szCs w:val="24"/>
          <w:lang w:val="es-ES_tradnl" w:eastAsia="es-UY"/>
          <w14:ligatures w14:val="none"/>
        </w:rPr>
        <w:t>, “e</w:t>
      </w:r>
      <w:r w:rsidRPr="004249C8">
        <w:rPr>
          <w:rFonts w:ascii="Arial" w:eastAsia="Times New Roman" w:hAnsi="Arial" w:cs="Arial"/>
          <w:color w:val="222222"/>
          <w:kern w:val="0"/>
          <w:sz w:val="24"/>
          <w:szCs w:val="24"/>
          <w:lang w:eastAsia="es-UY"/>
          <w14:ligatures w14:val="none"/>
        </w:rPr>
        <w:t>n la </w:t>
      </w:r>
      <w:r w:rsidRPr="004249C8">
        <w:rPr>
          <w:rFonts w:ascii="Arial" w:eastAsia="Times New Roman" w:hAnsi="Arial" w:cs="Arial"/>
          <w:color w:val="222222"/>
          <w:kern w:val="0"/>
          <w:sz w:val="24"/>
          <w:szCs w:val="24"/>
          <w:u w:val="single"/>
          <w:lang w:eastAsia="es-UY"/>
          <w14:ligatures w14:val="none"/>
        </w:rPr>
        <w:t>frente</w:t>
      </w:r>
      <w:r w:rsidRPr="004249C8">
        <w:rPr>
          <w:rFonts w:ascii="Arial" w:eastAsia="Times New Roman" w:hAnsi="Arial" w:cs="Arial"/>
          <w:color w:val="222222"/>
          <w:kern w:val="0"/>
          <w:sz w:val="24"/>
          <w:szCs w:val="24"/>
          <w:lang w:eastAsia="es-UY"/>
          <w14:ligatures w14:val="none"/>
        </w:rPr>
        <w:t> llevaba un título secreto: Babilonia la Grande, madre de las prostitutas y las obscenidades de la tierra. Vi a la mujer emborrachada con la sangre de los santos y la sangre de los testigos de Jesús.  (</w:t>
      </w:r>
      <w:proofErr w:type="spellStart"/>
      <w:r w:rsidRPr="004249C8">
        <w:rPr>
          <w:rFonts w:ascii="Arial" w:eastAsia="Times New Roman" w:hAnsi="Arial" w:cs="Arial"/>
          <w:color w:val="222222"/>
          <w:kern w:val="0"/>
          <w:sz w:val="24"/>
          <w:szCs w:val="24"/>
          <w:lang w:eastAsia="es-UY"/>
          <w14:ligatures w14:val="none"/>
        </w:rPr>
        <w:t>Ap</w:t>
      </w:r>
      <w:proofErr w:type="spellEnd"/>
      <w:r w:rsidRPr="004249C8">
        <w:rPr>
          <w:rFonts w:ascii="Arial" w:eastAsia="Times New Roman" w:hAnsi="Arial" w:cs="Arial"/>
          <w:color w:val="222222"/>
          <w:kern w:val="0"/>
          <w:sz w:val="24"/>
          <w:szCs w:val="24"/>
          <w:lang w:eastAsia="es-UY"/>
          <w14:ligatures w14:val="none"/>
        </w:rPr>
        <w:t xml:space="preserve"> 17:2.5-6)</w:t>
      </w:r>
      <w:bookmarkStart w:id="1" w:name="m_-4167663191601989951__ftnref2"/>
      <w:r w:rsidRPr="004249C8">
        <w:rPr>
          <w:rFonts w:ascii="Arial" w:eastAsia="Times New Roman" w:hAnsi="Arial" w:cs="Arial"/>
          <w:color w:val="222222"/>
          <w:kern w:val="0"/>
          <w:sz w:val="24"/>
          <w:szCs w:val="24"/>
          <w:lang w:eastAsia="es-UY"/>
          <w14:ligatures w14:val="none"/>
        </w:rPr>
        <w:fldChar w:fldCharType="begin"/>
      </w:r>
      <w:r w:rsidRPr="004249C8">
        <w:rPr>
          <w:rFonts w:ascii="Arial" w:eastAsia="Times New Roman" w:hAnsi="Arial" w:cs="Arial"/>
          <w:color w:val="222222"/>
          <w:kern w:val="0"/>
          <w:sz w:val="24"/>
          <w:szCs w:val="24"/>
          <w:lang w:eastAsia="es-UY"/>
          <w14:ligatures w14:val="none"/>
        </w:rPr>
        <w:instrText>HYPERLINK "https://mail.google.com/mail/u/1/" \l "m_-4167663191601989951__ftn2" \o ""</w:instrText>
      </w:r>
      <w:r w:rsidRPr="004249C8">
        <w:rPr>
          <w:rFonts w:ascii="Arial" w:eastAsia="Times New Roman" w:hAnsi="Arial" w:cs="Arial"/>
          <w:color w:val="222222"/>
          <w:kern w:val="0"/>
          <w:sz w:val="24"/>
          <w:szCs w:val="24"/>
          <w:lang w:eastAsia="es-UY"/>
          <w14:ligatures w14:val="none"/>
        </w:rPr>
      </w:r>
      <w:r w:rsidRPr="004249C8">
        <w:rPr>
          <w:rFonts w:ascii="Arial" w:eastAsia="Times New Roman" w:hAnsi="Arial" w:cs="Arial"/>
          <w:color w:val="222222"/>
          <w:kern w:val="0"/>
          <w:sz w:val="24"/>
          <w:szCs w:val="24"/>
          <w:lang w:eastAsia="es-UY"/>
          <w14:ligatures w14:val="none"/>
        </w:rPr>
        <w:fldChar w:fldCharType="separate"/>
      </w:r>
      <w:r w:rsidRPr="004249C8">
        <w:rPr>
          <w:rFonts w:ascii="Calibri" w:eastAsia="Times New Roman" w:hAnsi="Calibri" w:cs="Calibri"/>
          <w:color w:val="1155CC"/>
          <w:kern w:val="0"/>
          <w:sz w:val="24"/>
          <w:szCs w:val="24"/>
          <w:u w:val="single"/>
          <w:vertAlign w:val="superscript"/>
          <w:lang w:eastAsia="es-UY"/>
          <w14:ligatures w14:val="none"/>
        </w:rPr>
        <w:t>[2]</w:t>
      </w:r>
      <w:r w:rsidRPr="004249C8">
        <w:rPr>
          <w:rFonts w:ascii="Arial" w:eastAsia="Times New Roman" w:hAnsi="Arial" w:cs="Arial"/>
          <w:color w:val="222222"/>
          <w:kern w:val="0"/>
          <w:sz w:val="24"/>
          <w:szCs w:val="24"/>
          <w:lang w:eastAsia="es-UY"/>
          <w14:ligatures w14:val="none"/>
        </w:rPr>
        <w:fldChar w:fldCharType="end"/>
      </w:r>
      <w:bookmarkEnd w:id="1"/>
      <w:r w:rsidRPr="004249C8">
        <w:rPr>
          <w:rFonts w:ascii="Arial" w:eastAsia="Times New Roman" w:hAnsi="Arial" w:cs="Arial"/>
          <w:color w:val="222222"/>
          <w:kern w:val="0"/>
          <w:sz w:val="24"/>
          <w:szCs w:val="24"/>
          <w:lang w:eastAsia="es-UY"/>
          <w14:ligatures w14:val="none"/>
        </w:rPr>
        <w:t>.</w:t>
      </w:r>
    </w:p>
    <w:p w14:paraId="11AC3800"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 </w:t>
      </w:r>
    </w:p>
    <w:p w14:paraId="16ED1F09"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 xml:space="preserve">Otro texto que merece una breve aclaración es </w:t>
      </w:r>
      <w:proofErr w:type="spellStart"/>
      <w:r w:rsidRPr="004249C8">
        <w:rPr>
          <w:rFonts w:ascii="Arial" w:eastAsia="Times New Roman" w:hAnsi="Arial" w:cs="Arial"/>
          <w:color w:val="222222"/>
          <w:kern w:val="0"/>
          <w:sz w:val="24"/>
          <w:szCs w:val="24"/>
          <w:lang w:eastAsia="es-UY"/>
          <w14:ligatures w14:val="none"/>
        </w:rPr>
        <w:t>Hch</w:t>
      </w:r>
      <w:proofErr w:type="spellEnd"/>
      <w:r w:rsidRPr="004249C8">
        <w:rPr>
          <w:rFonts w:ascii="Arial" w:eastAsia="Times New Roman" w:hAnsi="Arial" w:cs="Arial"/>
          <w:color w:val="222222"/>
          <w:kern w:val="0"/>
          <w:sz w:val="24"/>
          <w:szCs w:val="24"/>
          <w:lang w:eastAsia="es-UY"/>
          <w14:ligatures w14:val="none"/>
        </w:rPr>
        <w:t xml:space="preserve"> 21,9 donde se menciona a Felipe y se aclara que era evangelista, “uno de los siete” y que tenía “cuatro hijas vírgenes que profetizaban”. El tema es confuso; en los textos bíblicos, la virginidad es simplemente un momento a la espera de un futuro matrimonio que se espera, por lo que suele traducirse en muchas ediciones sencillamente como “soltería”. Es interesante que Clemente de Alejandría (ciertamente, defendiendo el matrimonio contra aquellos que lo </w:t>
      </w:r>
      <w:proofErr w:type="spellStart"/>
      <w:r w:rsidRPr="004249C8">
        <w:rPr>
          <w:rFonts w:ascii="Arial" w:eastAsia="Times New Roman" w:hAnsi="Arial" w:cs="Arial"/>
          <w:color w:val="222222"/>
          <w:kern w:val="0"/>
          <w:sz w:val="24"/>
          <w:szCs w:val="24"/>
          <w:lang w:eastAsia="es-UY"/>
          <w14:ligatures w14:val="none"/>
        </w:rPr>
        <w:t>denostan</w:t>
      </w:r>
      <w:proofErr w:type="spellEnd"/>
      <w:r w:rsidRPr="004249C8">
        <w:rPr>
          <w:rFonts w:ascii="Arial" w:eastAsia="Times New Roman" w:hAnsi="Arial" w:cs="Arial"/>
          <w:color w:val="222222"/>
          <w:kern w:val="0"/>
          <w:sz w:val="24"/>
          <w:szCs w:val="24"/>
          <w:lang w:eastAsia="es-UY"/>
          <w14:ligatures w14:val="none"/>
        </w:rPr>
        <w:t>) afirma que “Pedro y Felipe tuvieron hijos y Felipe dio a sus hijas en matrimonio” (</w:t>
      </w:r>
      <w:proofErr w:type="spellStart"/>
      <w:r w:rsidRPr="004249C8">
        <w:rPr>
          <w:rFonts w:ascii="Arial" w:eastAsia="Times New Roman" w:hAnsi="Arial" w:cs="Arial"/>
          <w:color w:val="222222"/>
          <w:kern w:val="0"/>
          <w:sz w:val="24"/>
          <w:szCs w:val="24"/>
          <w:lang w:eastAsia="es-UY"/>
          <w14:ligatures w14:val="none"/>
        </w:rPr>
        <w:t>Strom</w:t>
      </w:r>
      <w:proofErr w:type="spellEnd"/>
      <w:r w:rsidRPr="004249C8">
        <w:rPr>
          <w:rFonts w:ascii="Arial" w:eastAsia="Times New Roman" w:hAnsi="Arial" w:cs="Arial"/>
          <w:color w:val="222222"/>
          <w:kern w:val="0"/>
          <w:sz w:val="24"/>
          <w:szCs w:val="24"/>
          <w:lang w:eastAsia="es-UY"/>
          <w14:ligatures w14:val="none"/>
        </w:rPr>
        <w:t>. III,52.4).</w:t>
      </w:r>
      <w:bookmarkStart w:id="2" w:name="m_-4167663191601989951__ftnref3"/>
      <w:r w:rsidRPr="004249C8">
        <w:rPr>
          <w:rFonts w:ascii="Arial" w:eastAsia="Times New Roman" w:hAnsi="Arial" w:cs="Arial"/>
          <w:color w:val="222222"/>
          <w:kern w:val="0"/>
          <w:sz w:val="24"/>
          <w:szCs w:val="24"/>
          <w:lang w:eastAsia="es-UY"/>
          <w14:ligatures w14:val="none"/>
        </w:rPr>
        <w:fldChar w:fldCharType="begin"/>
      </w:r>
      <w:r w:rsidRPr="004249C8">
        <w:rPr>
          <w:rFonts w:ascii="Arial" w:eastAsia="Times New Roman" w:hAnsi="Arial" w:cs="Arial"/>
          <w:color w:val="222222"/>
          <w:kern w:val="0"/>
          <w:sz w:val="24"/>
          <w:szCs w:val="24"/>
          <w:lang w:eastAsia="es-UY"/>
          <w14:ligatures w14:val="none"/>
        </w:rPr>
        <w:instrText>HYPERLINK "https://mail.google.com/mail/u/1/" \l "m_-4167663191601989951__ftn3" \o ""</w:instrText>
      </w:r>
      <w:r w:rsidRPr="004249C8">
        <w:rPr>
          <w:rFonts w:ascii="Arial" w:eastAsia="Times New Roman" w:hAnsi="Arial" w:cs="Arial"/>
          <w:color w:val="222222"/>
          <w:kern w:val="0"/>
          <w:sz w:val="24"/>
          <w:szCs w:val="24"/>
          <w:lang w:eastAsia="es-UY"/>
          <w14:ligatures w14:val="none"/>
        </w:rPr>
      </w:r>
      <w:r w:rsidRPr="004249C8">
        <w:rPr>
          <w:rFonts w:ascii="Arial" w:eastAsia="Times New Roman" w:hAnsi="Arial" w:cs="Arial"/>
          <w:color w:val="222222"/>
          <w:kern w:val="0"/>
          <w:sz w:val="24"/>
          <w:szCs w:val="24"/>
          <w:lang w:eastAsia="es-UY"/>
          <w14:ligatures w14:val="none"/>
        </w:rPr>
        <w:fldChar w:fldCharType="separate"/>
      </w:r>
      <w:r w:rsidRPr="004249C8">
        <w:rPr>
          <w:rFonts w:ascii="Calibri" w:eastAsia="Times New Roman" w:hAnsi="Calibri" w:cs="Calibri"/>
          <w:color w:val="1155CC"/>
          <w:kern w:val="0"/>
          <w:sz w:val="24"/>
          <w:szCs w:val="24"/>
          <w:u w:val="single"/>
          <w:vertAlign w:val="superscript"/>
          <w:lang w:eastAsia="es-UY"/>
          <w14:ligatures w14:val="none"/>
        </w:rPr>
        <w:t>[3]</w:t>
      </w:r>
      <w:r w:rsidRPr="004249C8">
        <w:rPr>
          <w:rFonts w:ascii="Arial" w:eastAsia="Times New Roman" w:hAnsi="Arial" w:cs="Arial"/>
          <w:color w:val="222222"/>
          <w:kern w:val="0"/>
          <w:sz w:val="24"/>
          <w:szCs w:val="24"/>
          <w:lang w:eastAsia="es-UY"/>
          <w14:ligatures w14:val="none"/>
        </w:rPr>
        <w:fldChar w:fldCharType="end"/>
      </w:r>
      <w:bookmarkEnd w:id="2"/>
      <w:r w:rsidRPr="004249C8">
        <w:rPr>
          <w:rFonts w:ascii="Arial" w:eastAsia="Times New Roman" w:hAnsi="Arial" w:cs="Arial"/>
          <w:color w:val="222222"/>
          <w:kern w:val="0"/>
          <w:sz w:val="24"/>
          <w:szCs w:val="24"/>
          <w:lang w:eastAsia="es-UY"/>
          <w14:ligatures w14:val="none"/>
        </w:rPr>
        <w:t> Por los datos de los que disponemos, la “virginidad” entendida como “voto” se remonta, recién, a fines del s. IV.</w:t>
      </w:r>
      <w:bookmarkStart w:id="3" w:name="m_-4167663191601989951__ftnref4"/>
      <w:r w:rsidRPr="004249C8">
        <w:rPr>
          <w:rFonts w:ascii="Arial" w:eastAsia="Times New Roman" w:hAnsi="Arial" w:cs="Arial"/>
          <w:color w:val="222222"/>
          <w:kern w:val="0"/>
          <w:sz w:val="24"/>
          <w:szCs w:val="24"/>
          <w:lang w:eastAsia="es-UY"/>
          <w14:ligatures w14:val="none"/>
        </w:rPr>
        <w:fldChar w:fldCharType="begin"/>
      </w:r>
      <w:r w:rsidRPr="004249C8">
        <w:rPr>
          <w:rFonts w:ascii="Arial" w:eastAsia="Times New Roman" w:hAnsi="Arial" w:cs="Arial"/>
          <w:color w:val="222222"/>
          <w:kern w:val="0"/>
          <w:sz w:val="24"/>
          <w:szCs w:val="24"/>
          <w:lang w:eastAsia="es-UY"/>
          <w14:ligatures w14:val="none"/>
        </w:rPr>
        <w:instrText>HYPERLINK "https://mail.google.com/mail/u/1/" \l "m_-4167663191601989951__ftn4" \o ""</w:instrText>
      </w:r>
      <w:r w:rsidRPr="004249C8">
        <w:rPr>
          <w:rFonts w:ascii="Arial" w:eastAsia="Times New Roman" w:hAnsi="Arial" w:cs="Arial"/>
          <w:color w:val="222222"/>
          <w:kern w:val="0"/>
          <w:sz w:val="24"/>
          <w:szCs w:val="24"/>
          <w:lang w:eastAsia="es-UY"/>
          <w14:ligatures w14:val="none"/>
        </w:rPr>
      </w:r>
      <w:r w:rsidRPr="004249C8">
        <w:rPr>
          <w:rFonts w:ascii="Arial" w:eastAsia="Times New Roman" w:hAnsi="Arial" w:cs="Arial"/>
          <w:color w:val="222222"/>
          <w:kern w:val="0"/>
          <w:sz w:val="24"/>
          <w:szCs w:val="24"/>
          <w:lang w:eastAsia="es-UY"/>
          <w14:ligatures w14:val="none"/>
        </w:rPr>
        <w:fldChar w:fldCharType="separate"/>
      </w:r>
      <w:r w:rsidRPr="004249C8">
        <w:rPr>
          <w:rFonts w:ascii="Calibri" w:eastAsia="Times New Roman" w:hAnsi="Calibri" w:cs="Calibri"/>
          <w:color w:val="1155CC"/>
          <w:kern w:val="0"/>
          <w:sz w:val="24"/>
          <w:szCs w:val="24"/>
          <w:u w:val="single"/>
          <w:vertAlign w:val="superscript"/>
          <w:lang w:eastAsia="es-UY"/>
          <w14:ligatures w14:val="none"/>
        </w:rPr>
        <w:t>[4]</w:t>
      </w:r>
      <w:r w:rsidRPr="004249C8">
        <w:rPr>
          <w:rFonts w:ascii="Arial" w:eastAsia="Times New Roman" w:hAnsi="Arial" w:cs="Arial"/>
          <w:color w:val="222222"/>
          <w:kern w:val="0"/>
          <w:sz w:val="24"/>
          <w:szCs w:val="24"/>
          <w:lang w:eastAsia="es-UY"/>
          <w14:ligatures w14:val="none"/>
        </w:rPr>
        <w:fldChar w:fldCharType="end"/>
      </w:r>
      <w:bookmarkEnd w:id="3"/>
    </w:p>
    <w:p w14:paraId="21CC573E"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 </w:t>
      </w:r>
    </w:p>
    <w:p w14:paraId="373B9720"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 xml:space="preserve">Es sabido que en la Biblia (Nuevo Testamento incluido) la bendición divina se expresa en la tenencia de hijos; es de notar el dolor de la hija de Jefté cuando este hizo el voto de “sacrificar en holocausto” el/lo primero que salga de su casa al regresar de la batalla (machismo evidente), lo cual ocurre con su única hija. </w:t>
      </w:r>
      <w:r w:rsidRPr="004249C8">
        <w:rPr>
          <w:rFonts w:ascii="Arial" w:eastAsia="Times New Roman" w:hAnsi="Arial" w:cs="Arial"/>
          <w:color w:val="222222"/>
          <w:kern w:val="0"/>
          <w:sz w:val="24"/>
          <w:szCs w:val="24"/>
          <w:lang w:eastAsia="es-UY"/>
          <w14:ligatures w14:val="none"/>
        </w:rPr>
        <w:lastRenderedPageBreak/>
        <w:t>Ella lo alienta a cumplir el voto, pero le pide autorización para “vagar dos meses por las montañas con mis compañeras y llorar mi virginidad” (Jue 11,37).</w:t>
      </w:r>
    </w:p>
    <w:p w14:paraId="042189E9"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 </w:t>
      </w:r>
    </w:p>
    <w:p w14:paraId="15B4569C"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Esta actitud de pureza ritual se “suma” a la concepción helénica para la cual la inferioridad del cuerpo invita a entender como más meritorio no buscar el placer. Esto explica la primitiva mirada positiva al movimiento encratita, y la negativa al matrimonio que ya se vislumbra en las cartas pastorales (1 Tim 4,3) y vimos expresada críticamente por Clemente confrontando el gnosticismo (pero desde el neoplatonismo).</w:t>
      </w:r>
    </w:p>
    <w:p w14:paraId="426B6388"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 </w:t>
      </w:r>
    </w:p>
    <w:p w14:paraId="2CD62F79"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 xml:space="preserve">Este conflicto marca diferentes corrientes espirituales. Los neoplatónicos, por un lado, que defienden el matrimonio, pero “hay que poner brida a los instintos irracionales” (Clem. </w:t>
      </w:r>
      <w:proofErr w:type="spellStart"/>
      <w:r w:rsidRPr="004249C8">
        <w:rPr>
          <w:rFonts w:ascii="Arial" w:eastAsia="Times New Roman" w:hAnsi="Arial" w:cs="Arial"/>
          <w:color w:val="222222"/>
          <w:kern w:val="0"/>
          <w:sz w:val="24"/>
          <w:szCs w:val="24"/>
          <w:lang w:eastAsia="es-UY"/>
          <w14:ligatures w14:val="none"/>
        </w:rPr>
        <w:t>Paedag</w:t>
      </w:r>
      <w:proofErr w:type="spellEnd"/>
      <w:r w:rsidRPr="004249C8">
        <w:rPr>
          <w:rFonts w:ascii="Arial" w:eastAsia="Times New Roman" w:hAnsi="Arial" w:cs="Arial"/>
          <w:color w:val="222222"/>
          <w:kern w:val="0"/>
          <w:sz w:val="24"/>
          <w:szCs w:val="24"/>
          <w:lang w:eastAsia="es-UY"/>
          <w14:ligatures w14:val="none"/>
        </w:rPr>
        <w:t xml:space="preserve"> III.11:62,1) confrontando con “la tradición encratita tan arraigada en amplios sectores heréticos y del cristianismo popular (Clem. </w:t>
      </w:r>
      <w:proofErr w:type="spellStart"/>
      <w:r w:rsidRPr="004249C8">
        <w:rPr>
          <w:rFonts w:ascii="Arial" w:eastAsia="Times New Roman" w:hAnsi="Arial" w:cs="Arial"/>
          <w:color w:val="222222"/>
          <w:kern w:val="0"/>
          <w:sz w:val="24"/>
          <w:szCs w:val="24"/>
          <w:lang w:eastAsia="es-UY"/>
          <w14:ligatures w14:val="none"/>
        </w:rPr>
        <w:t>Strom</w:t>
      </w:r>
      <w:proofErr w:type="spellEnd"/>
      <w:r w:rsidRPr="004249C8">
        <w:rPr>
          <w:rFonts w:ascii="Arial" w:eastAsia="Times New Roman" w:hAnsi="Arial" w:cs="Arial"/>
          <w:color w:val="222222"/>
          <w:kern w:val="0"/>
          <w:sz w:val="24"/>
          <w:szCs w:val="24"/>
          <w:lang w:eastAsia="es-UY"/>
          <w14:ligatures w14:val="none"/>
        </w:rPr>
        <w:t xml:space="preserve"> III)”</w:t>
      </w:r>
      <w:bookmarkStart w:id="4" w:name="m_-4167663191601989951__ftnref5"/>
      <w:r w:rsidRPr="004249C8">
        <w:rPr>
          <w:rFonts w:ascii="Arial" w:eastAsia="Times New Roman" w:hAnsi="Arial" w:cs="Arial"/>
          <w:color w:val="222222"/>
          <w:kern w:val="0"/>
          <w:sz w:val="24"/>
          <w:szCs w:val="24"/>
          <w:lang w:eastAsia="es-UY"/>
          <w14:ligatures w14:val="none"/>
        </w:rPr>
        <w:fldChar w:fldCharType="begin"/>
      </w:r>
      <w:r w:rsidRPr="004249C8">
        <w:rPr>
          <w:rFonts w:ascii="Arial" w:eastAsia="Times New Roman" w:hAnsi="Arial" w:cs="Arial"/>
          <w:color w:val="222222"/>
          <w:kern w:val="0"/>
          <w:sz w:val="24"/>
          <w:szCs w:val="24"/>
          <w:lang w:eastAsia="es-UY"/>
          <w14:ligatures w14:val="none"/>
        </w:rPr>
        <w:instrText>HYPERLINK "https://mail.google.com/mail/u/1/" \l "m_-4167663191601989951__ftn5" \o ""</w:instrText>
      </w:r>
      <w:r w:rsidRPr="004249C8">
        <w:rPr>
          <w:rFonts w:ascii="Arial" w:eastAsia="Times New Roman" w:hAnsi="Arial" w:cs="Arial"/>
          <w:color w:val="222222"/>
          <w:kern w:val="0"/>
          <w:sz w:val="24"/>
          <w:szCs w:val="24"/>
          <w:lang w:eastAsia="es-UY"/>
          <w14:ligatures w14:val="none"/>
        </w:rPr>
      </w:r>
      <w:r w:rsidRPr="004249C8">
        <w:rPr>
          <w:rFonts w:ascii="Arial" w:eastAsia="Times New Roman" w:hAnsi="Arial" w:cs="Arial"/>
          <w:color w:val="222222"/>
          <w:kern w:val="0"/>
          <w:sz w:val="24"/>
          <w:szCs w:val="24"/>
          <w:lang w:eastAsia="es-UY"/>
          <w14:ligatures w14:val="none"/>
        </w:rPr>
        <w:fldChar w:fldCharType="separate"/>
      </w:r>
      <w:r w:rsidRPr="004249C8">
        <w:rPr>
          <w:rFonts w:ascii="Calibri" w:eastAsia="Times New Roman" w:hAnsi="Calibri" w:cs="Calibri"/>
          <w:color w:val="1155CC"/>
          <w:kern w:val="0"/>
          <w:sz w:val="24"/>
          <w:szCs w:val="24"/>
          <w:u w:val="single"/>
          <w:vertAlign w:val="superscript"/>
          <w:lang w:eastAsia="es-UY"/>
          <w14:ligatures w14:val="none"/>
        </w:rPr>
        <w:t>[5]</w:t>
      </w:r>
      <w:r w:rsidRPr="004249C8">
        <w:rPr>
          <w:rFonts w:ascii="Arial" w:eastAsia="Times New Roman" w:hAnsi="Arial" w:cs="Arial"/>
          <w:color w:val="222222"/>
          <w:kern w:val="0"/>
          <w:sz w:val="24"/>
          <w:szCs w:val="24"/>
          <w:lang w:eastAsia="es-UY"/>
          <w14:ligatures w14:val="none"/>
        </w:rPr>
        <w:fldChar w:fldCharType="end"/>
      </w:r>
      <w:bookmarkEnd w:id="4"/>
      <w:r w:rsidRPr="004249C8">
        <w:rPr>
          <w:rFonts w:ascii="Arial" w:eastAsia="Times New Roman" w:hAnsi="Arial" w:cs="Arial"/>
          <w:color w:val="222222"/>
          <w:kern w:val="0"/>
          <w:sz w:val="24"/>
          <w:szCs w:val="24"/>
          <w:lang w:eastAsia="es-UY"/>
          <w14:ligatures w14:val="none"/>
        </w:rPr>
        <w:t>, él “sostiene una posición intermedia, que toma distancia tanto frente a un rechazo radical cuanto a una práctica libertina de la sexualidad dentro y fuera del matrimonio”.</w:t>
      </w:r>
      <w:bookmarkStart w:id="5" w:name="m_-4167663191601989951__ftnref6"/>
      <w:r w:rsidRPr="004249C8">
        <w:rPr>
          <w:rFonts w:ascii="Arial" w:eastAsia="Times New Roman" w:hAnsi="Arial" w:cs="Arial"/>
          <w:color w:val="222222"/>
          <w:kern w:val="0"/>
          <w:sz w:val="24"/>
          <w:szCs w:val="24"/>
          <w:lang w:eastAsia="es-UY"/>
          <w14:ligatures w14:val="none"/>
        </w:rPr>
        <w:fldChar w:fldCharType="begin"/>
      </w:r>
      <w:r w:rsidRPr="004249C8">
        <w:rPr>
          <w:rFonts w:ascii="Arial" w:eastAsia="Times New Roman" w:hAnsi="Arial" w:cs="Arial"/>
          <w:color w:val="222222"/>
          <w:kern w:val="0"/>
          <w:sz w:val="24"/>
          <w:szCs w:val="24"/>
          <w:lang w:eastAsia="es-UY"/>
          <w14:ligatures w14:val="none"/>
        </w:rPr>
        <w:instrText>HYPERLINK "https://mail.google.com/mail/u/1/" \l "m_-4167663191601989951__ftn6" \o ""</w:instrText>
      </w:r>
      <w:r w:rsidRPr="004249C8">
        <w:rPr>
          <w:rFonts w:ascii="Arial" w:eastAsia="Times New Roman" w:hAnsi="Arial" w:cs="Arial"/>
          <w:color w:val="222222"/>
          <w:kern w:val="0"/>
          <w:sz w:val="24"/>
          <w:szCs w:val="24"/>
          <w:lang w:eastAsia="es-UY"/>
          <w14:ligatures w14:val="none"/>
        </w:rPr>
      </w:r>
      <w:r w:rsidRPr="004249C8">
        <w:rPr>
          <w:rFonts w:ascii="Arial" w:eastAsia="Times New Roman" w:hAnsi="Arial" w:cs="Arial"/>
          <w:color w:val="222222"/>
          <w:kern w:val="0"/>
          <w:sz w:val="24"/>
          <w:szCs w:val="24"/>
          <w:lang w:eastAsia="es-UY"/>
          <w14:ligatures w14:val="none"/>
        </w:rPr>
        <w:fldChar w:fldCharType="separate"/>
      </w:r>
      <w:r w:rsidRPr="004249C8">
        <w:rPr>
          <w:rFonts w:ascii="Calibri" w:eastAsia="Times New Roman" w:hAnsi="Calibri" w:cs="Calibri"/>
          <w:color w:val="1155CC"/>
          <w:kern w:val="0"/>
          <w:sz w:val="24"/>
          <w:szCs w:val="24"/>
          <w:u w:val="single"/>
          <w:vertAlign w:val="superscript"/>
          <w:lang w:eastAsia="es-UY"/>
          <w14:ligatures w14:val="none"/>
        </w:rPr>
        <w:t>[6]</w:t>
      </w:r>
      <w:r w:rsidRPr="004249C8">
        <w:rPr>
          <w:rFonts w:ascii="Arial" w:eastAsia="Times New Roman" w:hAnsi="Arial" w:cs="Arial"/>
          <w:color w:val="222222"/>
          <w:kern w:val="0"/>
          <w:sz w:val="24"/>
          <w:szCs w:val="24"/>
          <w:lang w:eastAsia="es-UY"/>
          <w14:ligatures w14:val="none"/>
        </w:rPr>
        <w:fldChar w:fldCharType="end"/>
      </w:r>
      <w:bookmarkEnd w:id="5"/>
      <w:r w:rsidRPr="004249C8">
        <w:rPr>
          <w:rFonts w:ascii="Arial" w:eastAsia="Times New Roman" w:hAnsi="Arial" w:cs="Arial"/>
          <w:color w:val="222222"/>
          <w:kern w:val="0"/>
          <w:sz w:val="24"/>
          <w:szCs w:val="24"/>
          <w:lang w:eastAsia="es-UY"/>
          <w14:ligatures w14:val="none"/>
        </w:rPr>
        <w:t xml:space="preserve"> Y por otro lado, los sectores encratitas, que tienen su origen en </w:t>
      </w:r>
      <w:proofErr w:type="spellStart"/>
      <w:r w:rsidRPr="004249C8">
        <w:rPr>
          <w:rFonts w:ascii="Arial" w:eastAsia="Times New Roman" w:hAnsi="Arial" w:cs="Arial"/>
          <w:color w:val="222222"/>
          <w:kern w:val="0"/>
          <w:sz w:val="24"/>
          <w:szCs w:val="24"/>
          <w:lang w:eastAsia="es-UY"/>
          <w14:ligatures w14:val="none"/>
        </w:rPr>
        <w:t>Taciano</w:t>
      </w:r>
      <w:proofErr w:type="spellEnd"/>
      <w:r w:rsidRPr="004249C8">
        <w:rPr>
          <w:rFonts w:ascii="Arial" w:eastAsia="Times New Roman" w:hAnsi="Arial" w:cs="Arial"/>
          <w:color w:val="222222"/>
          <w:kern w:val="0"/>
          <w:sz w:val="24"/>
          <w:szCs w:val="24"/>
          <w:lang w:eastAsia="es-UY"/>
          <w14:ligatures w14:val="none"/>
        </w:rPr>
        <w:t xml:space="preserve"> (discípulo de Justino) y plantean posturas rígidas de rechazo del matrimonio, de la carne y el vino.</w:t>
      </w:r>
      <w:bookmarkStart w:id="6" w:name="m_-4167663191601989951__ftnref7"/>
      <w:r w:rsidRPr="004249C8">
        <w:rPr>
          <w:rFonts w:ascii="Arial" w:eastAsia="Times New Roman" w:hAnsi="Arial" w:cs="Arial"/>
          <w:color w:val="222222"/>
          <w:kern w:val="0"/>
          <w:sz w:val="24"/>
          <w:szCs w:val="24"/>
          <w:lang w:eastAsia="es-UY"/>
          <w14:ligatures w14:val="none"/>
        </w:rPr>
        <w:fldChar w:fldCharType="begin"/>
      </w:r>
      <w:r w:rsidRPr="004249C8">
        <w:rPr>
          <w:rFonts w:ascii="Arial" w:eastAsia="Times New Roman" w:hAnsi="Arial" w:cs="Arial"/>
          <w:color w:val="222222"/>
          <w:kern w:val="0"/>
          <w:sz w:val="24"/>
          <w:szCs w:val="24"/>
          <w:lang w:eastAsia="es-UY"/>
          <w14:ligatures w14:val="none"/>
        </w:rPr>
        <w:instrText>HYPERLINK "https://mail.google.com/mail/u/1/" \l "m_-4167663191601989951__ftn7" \o ""</w:instrText>
      </w:r>
      <w:r w:rsidRPr="004249C8">
        <w:rPr>
          <w:rFonts w:ascii="Arial" w:eastAsia="Times New Roman" w:hAnsi="Arial" w:cs="Arial"/>
          <w:color w:val="222222"/>
          <w:kern w:val="0"/>
          <w:sz w:val="24"/>
          <w:szCs w:val="24"/>
          <w:lang w:eastAsia="es-UY"/>
          <w14:ligatures w14:val="none"/>
        </w:rPr>
      </w:r>
      <w:r w:rsidRPr="004249C8">
        <w:rPr>
          <w:rFonts w:ascii="Arial" w:eastAsia="Times New Roman" w:hAnsi="Arial" w:cs="Arial"/>
          <w:color w:val="222222"/>
          <w:kern w:val="0"/>
          <w:sz w:val="24"/>
          <w:szCs w:val="24"/>
          <w:lang w:eastAsia="es-UY"/>
          <w14:ligatures w14:val="none"/>
        </w:rPr>
        <w:fldChar w:fldCharType="separate"/>
      </w:r>
      <w:r w:rsidRPr="004249C8">
        <w:rPr>
          <w:rFonts w:ascii="Calibri" w:eastAsia="Times New Roman" w:hAnsi="Calibri" w:cs="Calibri"/>
          <w:color w:val="1155CC"/>
          <w:kern w:val="0"/>
          <w:sz w:val="24"/>
          <w:szCs w:val="24"/>
          <w:u w:val="single"/>
          <w:vertAlign w:val="superscript"/>
          <w:lang w:eastAsia="es-UY"/>
          <w14:ligatures w14:val="none"/>
        </w:rPr>
        <w:t>[7]</w:t>
      </w:r>
      <w:r w:rsidRPr="004249C8">
        <w:rPr>
          <w:rFonts w:ascii="Arial" w:eastAsia="Times New Roman" w:hAnsi="Arial" w:cs="Arial"/>
          <w:color w:val="222222"/>
          <w:kern w:val="0"/>
          <w:sz w:val="24"/>
          <w:szCs w:val="24"/>
          <w:lang w:eastAsia="es-UY"/>
          <w14:ligatures w14:val="none"/>
        </w:rPr>
        <w:fldChar w:fldCharType="end"/>
      </w:r>
      <w:bookmarkEnd w:id="6"/>
      <w:r w:rsidRPr="004249C8">
        <w:rPr>
          <w:rFonts w:ascii="Arial" w:eastAsia="Times New Roman" w:hAnsi="Arial" w:cs="Arial"/>
          <w:color w:val="222222"/>
          <w:kern w:val="0"/>
          <w:sz w:val="24"/>
          <w:szCs w:val="24"/>
          <w:lang w:eastAsia="es-UY"/>
          <w14:ligatures w14:val="none"/>
        </w:rPr>
        <w:t> A modo ilustrativo de esta corriente (que, a su vez, pretende separarse del ambiente griego) es de notar el escrito apócrifo </w:t>
      </w:r>
      <w:r w:rsidRPr="004249C8">
        <w:rPr>
          <w:rFonts w:ascii="Arial" w:eastAsia="Times New Roman" w:hAnsi="Arial" w:cs="Arial"/>
          <w:i/>
          <w:iCs/>
          <w:color w:val="222222"/>
          <w:kern w:val="0"/>
          <w:sz w:val="24"/>
          <w:szCs w:val="24"/>
          <w:lang w:eastAsia="es-UY"/>
          <w14:ligatures w14:val="none"/>
        </w:rPr>
        <w:t>Hechos de Tomás</w:t>
      </w:r>
      <w:r w:rsidRPr="004249C8">
        <w:rPr>
          <w:rFonts w:ascii="Arial" w:eastAsia="Times New Roman" w:hAnsi="Arial" w:cs="Arial"/>
          <w:color w:val="222222"/>
          <w:kern w:val="0"/>
          <w:sz w:val="24"/>
          <w:szCs w:val="24"/>
          <w:lang w:eastAsia="es-UY"/>
          <w14:ligatures w14:val="none"/>
        </w:rPr>
        <w:t> (probablemente poco posterior a Clemente), allí en los cap. 11 y 13 es interesante la propuesta de que el nuevo matrimonio dedique su noche de bodas a la oración.</w:t>
      </w:r>
      <w:bookmarkStart w:id="7" w:name="m_-4167663191601989951__ftnref8"/>
      <w:r w:rsidRPr="004249C8">
        <w:rPr>
          <w:rFonts w:ascii="Arial" w:eastAsia="Times New Roman" w:hAnsi="Arial" w:cs="Arial"/>
          <w:color w:val="222222"/>
          <w:kern w:val="0"/>
          <w:sz w:val="24"/>
          <w:szCs w:val="24"/>
          <w:lang w:eastAsia="es-UY"/>
          <w14:ligatures w14:val="none"/>
        </w:rPr>
        <w:fldChar w:fldCharType="begin"/>
      </w:r>
      <w:r w:rsidRPr="004249C8">
        <w:rPr>
          <w:rFonts w:ascii="Arial" w:eastAsia="Times New Roman" w:hAnsi="Arial" w:cs="Arial"/>
          <w:color w:val="222222"/>
          <w:kern w:val="0"/>
          <w:sz w:val="24"/>
          <w:szCs w:val="24"/>
          <w:lang w:eastAsia="es-UY"/>
          <w14:ligatures w14:val="none"/>
        </w:rPr>
        <w:instrText>HYPERLINK "https://mail.google.com/mail/u/1/" \l "m_-4167663191601989951__ftn8" \o ""</w:instrText>
      </w:r>
      <w:r w:rsidRPr="004249C8">
        <w:rPr>
          <w:rFonts w:ascii="Arial" w:eastAsia="Times New Roman" w:hAnsi="Arial" w:cs="Arial"/>
          <w:color w:val="222222"/>
          <w:kern w:val="0"/>
          <w:sz w:val="24"/>
          <w:szCs w:val="24"/>
          <w:lang w:eastAsia="es-UY"/>
          <w14:ligatures w14:val="none"/>
        </w:rPr>
      </w:r>
      <w:r w:rsidRPr="004249C8">
        <w:rPr>
          <w:rFonts w:ascii="Arial" w:eastAsia="Times New Roman" w:hAnsi="Arial" w:cs="Arial"/>
          <w:color w:val="222222"/>
          <w:kern w:val="0"/>
          <w:sz w:val="24"/>
          <w:szCs w:val="24"/>
          <w:lang w:eastAsia="es-UY"/>
          <w14:ligatures w14:val="none"/>
        </w:rPr>
        <w:fldChar w:fldCharType="separate"/>
      </w:r>
      <w:r w:rsidRPr="004249C8">
        <w:rPr>
          <w:rFonts w:ascii="Calibri" w:eastAsia="Times New Roman" w:hAnsi="Calibri" w:cs="Calibri"/>
          <w:color w:val="1155CC"/>
          <w:kern w:val="0"/>
          <w:sz w:val="24"/>
          <w:szCs w:val="24"/>
          <w:u w:val="single"/>
          <w:vertAlign w:val="superscript"/>
          <w:lang w:eastAsia="es-UY"/>
          <w14:ligatures w14:val="none"/>
        </w:rPr>
        <w:t>[8]</w:t>
      </w:r>
      <w:r w:rsidRPr="004249C8">
        <w:rPr>
          <w:rFonts w:ascii="Arial" w:eastAsia="Times New Roman" w:hAnsi="Arial" w:cs="Arial"/>
          <w:color w:val="222222"/>
          <w:kern w:val="0"/>
          <w:sz w:val="24"/>
          <w:szCs w:val="24"/>
          <w:lang w:eastAsia="es-UY"/>
          <w14:ligatures w14:val="none"/>
        </w:rPr>
        <w:fldChar w:fldCharType="end"/>
      </w:r>
      <w:bookmarkEnd w:id="7"/>
    </w:p>
    <w:p w14:paraId="2FE81158"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 </w:t>
      </w:r>
    </w:p>
    <w:p w14:paraId="74EE3562"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Creo que es muy probable señalar que una visión relativamente negativa en la valorización del cuerpo, y particularmente de la sexualidad, fue decisiva en la creciente valorización del celibato y la virginidad de los varones y mujeres en la Iglesia. Es de notar que en los dos primeros siglos no hay constancia de propiedad privada eclesial en Roma, “una corporación no podía ser nombrada heredera ya que no tenía personalidad jurídica”.</w:t>
      </w:r>
      <w:bookmarkStart w:id="8" w:name="m_-4167663191601989951__ftnref9"/>
      <w:r w:rsidRPr="004249C8">
        <w:rPr>
          <w:rFonts w:ascii="Arial" w:eastAsia="Times New Roman" w:hAnsi="Arial" w:cs="Arial"/>
          <w:color w:val="222222"/>
          <w:kern w:val="0"/>
          <w:sz w:val="24"/>
          <w:szCs w:val="24"/>
          <w:lang w:eastAsia="es-UY"/>
          <w14:ligatures w14:val="none"/>
        </w:rPr>
        <w:fldChar w:fldCharType="begin"/>
      </w:r>
      <w:r w:rsidRPr="004249C8">
        <w:rPr>
          <w:rFonts w:ascii="Arial" w:eastAsia="Times New Roman" w:hAnsi="Arial" w:cs="Arial"/>
          <w:color w:val="222222"/>
          <w:kern w:val="0"/>
          <w:sz w:val="24"/>
          <w:szCs w:val="24"/>
          <w:lang w:eastAsia="es-UY"/>
          <w14:ligatures w14:val="none"/>
        </w:rPr>
        <w:instrText>HYPERLINK "https://mail.google.com/mail/u/1/" \l "m_-4167663191601989951__ftn9" \o ""</w:instrText>
      </w:r>
      <w:r w:rsidRPr="004249C8">
        <w:rPr>
          <w:rFonts w:ascii="Arial" w:eastAsia="Times New Roman" w:hAnsi="Arial" w:cs="Arial"/>
          <w:color w:val="222222"/>
          <w:kern w:val="0"/>
          <w:sz w:val="24"/>
          <w:szCs w:val="24"/>
          <w:lang w:eastAsia="es-UY"/>
          <w14:ligatures w14:val="none"/>
        </w:rPr>
      </w:r>
      <w:r w:rsidRPr="004249C8">
        <w:rPr>
          <w:rFonts w:ascii="Arial" w:eastAsia="Times New Roman" w:hAnsi="Arial" w:cs="Arial"/>
          <w:color w:val="222222"/>
          <w:kern w:val="0"/>
          <w:sz w:val="24"/>
          <w:szCs w:val="24"/>
          <w:lang w:eastAsia="es-UY"/>
          <w14:ligatures w14:val="none"/>
        </w:rPr>
        <w:fldChar w:fldCharType="separate"/>
      </w:r>
      <w:r w:rsidRPr="004249C8">
        <w:rPr>
          <w:rFonts w:ascii="Calibri" w:eastAsia="Times New Roman" w:hAnsi="Calibri" w:cs="Calibri"/>
          <w:color w:val="1155CC"/>
          <w:kern w:val="0"/>
          <w:sz w:val="24"/>
          <w:szCs w:val="24"/>
          <w:u w:val="single"/>
          <w:vertAlign w:val="superscript"/>
          <w:lang w:eastAsia="es-UY"/>
          <w14:ligatures w14:val="none"/>
        </w:rPr>
        <w:t>[9]</w:t>
      </w:r>
      <w:r w:rsidRPr="004249C8">
        <w:rPr>
          <w:rFonts w:ascii="Arial" w:eastAsia="Times New Roman" w:hAnsi="Arial" w:cs="Arial"/>
          <w:color w:val="222222"/>
          <w:kern w:val="0"/>
          <w:sz w:val="24"/>
          <w:szCs w:val="24"/>
          <w:lang w:eastAsia="es-UY"/>
          <w14:ligatures w14:val="none"/>
        </w:rPr>
        <w:fldChar w:fldCharType="end"/>
      </w:r>
      <w:bookmarkEnd w:id="8"/>
      <w:r w:rsidRPr="004249C8">
        <w:rPr>
          <w:rFonts w:ascii="Arial" w:eastAsia="Times New Roman" w:hAnsi="Arial" w:cs="Arial"/>
          <w:color w:val="222222"/>
          <w:kern w:val="0"/>
          <w:sz w:val="24"/>
          <w:szCs w:val="24"/>
          <w:lang w:eastAsia="es-UY"/>
          <w14:ligatures w14:val="none"/>
        </w:rPr>
        <w:t> Durante el s. III todavía la propiedad privada en temas eclesiásticos era de “individuos”. Los lugares de culto y de sepultura fueron los primeros (s. III-IV) en los que se ejerció la propiedad eclesial. Por otra parte, el estatus social de los cristianos en Roma fue creciendo por lo que las propiedades (y sus tamaños, por ejemplo, para dar cabida a los participantes en las reuniones) fue creciente.</w:t>
      </w:r>
    </w:p>
    <w:p w14:paraId="7182D753"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 </w:t>
      </w:r>
    </w:p>
    <w:p w14:paraId="438B8C8E"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Vaya a modo de ejemplo un elemento más. En la Iglesia, la posibilidad de heredar fue haciéndose más “normal” con los siglos, pero el celibato fue obligatorio recién muchos años después. Sin embargo, un cura celebraba la misa ocasionalmente en el año, y era de desear que el día que lo hiciera no tuviera relaciones sexuales con su mujer (por la desvalorización del cuerpo y del placer). Pero con las reformas eclesiásticas, comenzó a identificarse el ministerio ordenado con el monacato, y – en ese caso – pasó a ser recomendable que el presbítero celebrara misa todos los días. Obviamente esto implicaba un impedimento sustancial al matrimonio de los ministros.</w:t>
      </w:r>
    </w:p>
    <w:p w14:paraId="5B9BF1BC"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 </w:t>
      </w:r>
    </w:p>
    <w:p w14:paraId="0895A473"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En lo personal creo que, en estos temas, como en muchos otros (entre los que el lugar de la mujer en la Iglesia ocupa un lugar fundamental) es urgente “</w:t>
      </w:r>
      <w:proofErr w:type="spellStart"/>
      <w:r w:rsidRPr="004249C8">
        <w:rPr>
          <w:rFonts w:ascii="Arial" w:eastAsia="Times New Roman" w:hAnsi="Arial" w:cs="Arial"/>
          <w:color w:val="222222"/>
          <w:kern w:val="0"/>
          <w:sz w:val="24"/>
          <w:szCs w:val="24"/>
          <w:lang w:eastAsia="es-UY"/>
          <w14:ligatures w14:val="none"/>
        </w:rPr>
        <w:t>deshelenizar</w:t>
      </w:r>
      <w:proofErr w:type="spellEnd"/>
      <w:r w:rsidRPr="004249C8">
        <w:rPr>
          <w:rFonts w:ascii="Arial" w:eastAsia="Times New Roman" w:hAnsi="Arial" w:cs="Arial"/>
          <w:color w:val="222222"/>
          <w:kern w:val="0"/>
          <w:sz w:val="24"/>
          <w:szCs w:val="24"/>
          <w:lang w:eastAsia="es-UY"/>
          <w14:ligatures w14:val="none"/>
        </w:rPr>
        <w:t xml:space="preserve"> el cristianismo”; es “razonable” ser en lenguajes y actitudes más seguidores de Jesús de Nazaret que de Platón, por ejemplo.</w:t>
      </w:r>
    </w:p>
    <w:p w14:paraId="6FD27983"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lastRenderedPageBreak/>
        <w:t> </w:t>
      </w:r>
    </w:p>
    <w:p w14:paraId="788C7718"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 </w:t>
      </w:r>
    </w:p>
    <w:p w14:paraId="3FC1D220" w14:textId="77777777" w:rsidR="004249C8" w:rsidRPr="004249C8" w:rsidRDefault="004249C8" w:rsidP="004249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eastAsia="es-UY"/>
          <w14:ligatures w14:val="none"/>
        </w:rPr>
        <w:t>Imagen tomada de </w:t>
      </w:r>
      <w:hyperlink r:id="rId5" w:tgtFrame="_blank" w:history="1">
        <w:r w:rsidRPr="004249C8">
          <w:rPr>
            <w:rFonts w:ascii="Arial" w:eastAsia="Times New Roman" w:hAnsi="Arial" w:cs="Arial"/>
            <w:color w:val="1155CC"/>
            <w:kern w:val="0"/>
            <w:sz w:val="24"/>
            <w:szCs w:val="24"/>
            <w:u w:val="single"/>
            <w:lang w:eastAsia="es-UY"/>
            <w14:ligatures w14:val="none"/>
          </w:rPr>
          <w:t>https://itemadrid.net/dualismo-y-psicologia/</w:t>
        </w:r>
      </w:hyperlink>
    </w:p>
    <w:p w14:paraId="09A6D997" w14:textId="77777777" w:rsidR="004249C8" w:rsidRPr="004249C8" w:rsidRDefault="004249C8" w:rsidP="004249C8">
      <w:pPr>
        <w:shd w:val="clear" w:color="auto" w:fill="FFFFFF"/>
        <w:spacing w:after="0" w:line="240" w:lineRule="auto"/>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ES_tradnl" w:eastAsia="es-UY"/>
          <w14:ligatures w14:val="none"/>
        </w:rPr>
        <w:t> </w:t>
      </w:r>
    </w:p>
    <w:p w14:paraId="60F61FAA" w14:textId="77777777" w:rsidR="004249C8" w:rsidRPr="004249C8" w:rsidRDefault="004249C8" w:rsidP="004249C8">
      <w:pPr>
        <w:shd w:val="clear" w:color="auto" w:fill="FFFFFF"/>
        <w:spacing w:after="0" w:line="240" w:lineRule="auto"/>
        <w:rPr>
          <w:rFonts w:ascii="Arial" w:eastAsia="Times New Roman" w:hAnsi="Arial" w:cs="Arial"/>
          <w:color w:val="222222"/>
          <w:kern w:val="0"/>
          <w:sz w:val="24"/>
          <w:szCs w:val="24"/>
          <w:lang w:eastAsia="es-UY"/>
          <w14:ligatures w14:val="none"/>
        </w:rPr>
      </w:pPr>
      <w:r w:rsidRPr="004249C8">
        <w:rPr>
          <w:rFonts w:ascii="Arial" w:eastAsia="Times New Roman" w:hAnsi="Arial" w:cs="Arial"/>
          <w:color w:val="222222"/>
          <w:kern w:val="0"/>
          <w:sz w:val="24"/>
          <w:szCs w:val="24"/>
          <w:lang w:val="es-ES_tradnl" w:eastAsia="es-UY"/>
          <w14:ligatures w14:val="none"/>
        </w:rPr>
        <w:t> </w:t>
      </w:r>
    </w:p>
    <w:p w14:paraId="5F3A8EE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C8"/>
    <w:rsid w:val="004249C8"/>
    <w:rsid w:val="007575A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21AAC"/>
  <w15:chartTrackingRefBased/>
  <w15:docId w15:val="{4F37BF02-7983-460D-9D61-AD82399E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4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4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49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49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249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249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49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49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49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49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49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49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49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49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49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49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49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49C8"/>
    <w:rPr>
      <w:rFonts w:eastAsiaTheme="majorEastAsia" w:cstheme="majorBidi"/>
      <w:color w:val="272727" w:themeColor="text1" w:themeTint="D8"/>
    </w:rPr>
  </w:style>
  <w:style w:type="paragraph" w:styleId="Ttulo">
    <w:name w:val="Title"/>
    <w:basedOn w:val="Normal"/>
    <w:next w:val="Normal"/>
    <w:link w:val="TtuloCar"/>
    <w:uiPriority w:val="10"/>
    <w:qFormat/>
    <w:rsid w:val="00424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49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49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49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49C8"/>
    <w:pPr>
      <w:spacing w:before="160"/>
      <w:jc w:val="center"/>
    </w:pPr>
    <w:rPr>
      <w:i/>
      <w:iCs/>
      <w:color w:val="404040" w:themeColor="text1" w:themeTint="BF"/>
    </w:rPr>
  </w:style>
  <w:style w:type="character" w:customStyle="1" w:styleId="CitaCar">
    <w:name w:val="Cita Car"/>
    <w:basedOn w:val="Fuentedeprrafopredeter"/>
    <w:link w:val="Cita"/>
    <w:uiPriority w:val="29"/>
    <w:rsid w:val="004249C8"/>
    <w:rPr>
      <w:i/>
      <w:iCs/>
      <w:color w:val="404040" w:themeColor="text1" w:themeTint="BF"/>
    </w:rPr>
  </w:style>
  <w:style w:type="paragraph" w:styleId="Prrafodelista">
    <w:name w:val="List Paragraph"/>
    <w:basedOn w:val="Normal"/>
    <w:uiPriority w:val="34"/>
    <w:qFormat/>
    <w:rsid w:val="004249C8"/>
    <w:pPr>
      <w:ind w:left="720"/>
      <w:contextualSpacing/>
    </w:pPr>
  </w:style>
  <w:style w:type="character" w:styleId="nfasisintenso">
    <w:name w:val="Intense Emphasis"/>
    <w:basedOn w:val="Fuentedeprrafopredeter"/>
    <w:uiPriority w:val="21"/>
    <w:qFormat/>
    <w:rsid w:val="004249C8"/>
    <w:rPr>
      <w:i/>
      <w:iCs/>
      <w:color w:val="0F4761" w:themeColor="accent1" w:themeShade="BF"/>
    </w:rPr>
  </w:style>
  <w:style w:type="paragraph" w:styleId="Citadestacada">
    <w:name w:val="Intense Quote"/>
    <w:basedOn w:val="Normal"/>
    <w:next w:val="Normal"/>
    <w:link w:val="CitadestacadaCar"/>
    <w:uiPriority w:val="30"/>
    <w:qFormat/>
    <w:rsid w:val="00424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49C8"/>
    <w:rPr>
      <w:i/>
      <w:iCs/>
      <w:color w:val="0F4761" w:themeColor="accent1" w:themeShade="BF"/>
    </w:rPr>
  </w:style>
  <w:style w:type="character" w:styleId="Referenciaintensa">
    <w:name w:val="Intense Reference"/>
    <w:basedOn w:val="Fuentedeprrafopredeter"/>
    <w:uiPriority w:val="32"/>
    <w:qFormat/>
    <w:rsid w:val="004249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09300">
      <w:bodyDiv w:val="1"/>
      <w:marLeft w:val="0"/>
      <w:marRight w:val="0"/>
      <w:marTop w:val="0"/>
      <w:marBottom w:val="0"/>
      <w:divBdr>
        <w:top w:val="none" w:sz="0" w:space="0" w:color="auto"/>
        <w:left w:val="none" w:sz="0" w:space="0" w:color="auto"/>
        <w:bottom w:val="none" w:sz="0" w:space="0" w:color="auto"/>
        <w:right w:val="none" w:sz="0" w:space="0" w:color="auto"/>
      </w:divBdr>
      <w:divsChild>
        <w:div w:id="4413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temadrid.net/dualismo-y-psicologi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8683</Characters>
  <Application>Microsoft Office Word</Application>
  <DocSecurity>0</DocSecurity>
  <Lines>72</Lines>
  <Paragraphs>20</Paragraphs>
  <ScaleCrop>false</ScaleCrop>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2024-10-06T14:26:00Z</dcterms:created>
  <dcterms:modified xsi:type="dcterms:W3CDTF">2024-10-06T14:27:00Z</dcterms:modified>
</cp:coreProperties>
</file>