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9FAE2" w14:textId="77777777" w:rsidR="00AC394F" w:rsidRPr="00AC394F" w:rsidRDefault="00AC394F" w:rsidP="00AC394F">
      <w:pPr>
        <w:spacing w:after="0" w:line="240" w:lineRule="auto"/>
        <w:outlineLvl w:val="0"/>
        <w:rPr>
          <w:rFonts w:ascii="Nunito" w:eastAsia="Times New Roman" w:hAnsi="Nunito" w:cs="Times New Roman"/>
          <w:b/>
          <w:bCs/>
          <w:color w:val="2C2F34"/>
          <w:kern w:val="36"/>
          <w:sz w:val="62"/>
          <w:szCs w:val="62"/>
          <w:lang w:eastAsia="es-UY"/>
          <w14:ligatures w14:val="none"/>
        </w:rPr>
      </w:pPr>
      <w:r w:rsidRPr="00AC394F">
        <w:rPr>
          <w:rFonts w:ascii="Nunito" w:eastAsia="Times New Roman" w:hAnsi="Nunito" w:cs="Times New Roman"/>
          <w:b/>
          <w:bCs/>
          <w:color w:val="2C2F34"/>
          <w:kern w:val="36"/>
          <w:sz w:val="62"/>
          <w:szCs w:val="62"/>
          <w:bdr w:val="none" w:sz="0" w:space="0" w:color="auto" w:frame="1"/>
          <w:lang w:eastAsia="es-UY"/>
          <w14:ligatures w14:val="none"/>
        </w:rPr>
        <w:t>En defensa de la Democracia: ¡NO A LA AMNISTÍA!</w:t>
      </w:r>
    </w:p>
    <w:p w14:paraId="15724020" w14:textId="167CCF0F" w:rsidR="00AC394F" w:rsidRPr="00AC394F" w:rsidRDefault="00AC394F" w:rsidP="00AC394F">
      <w:pPr>
        <w:spacing w:after="0" w:line="360" w:lineRule="atLeast"/>
        <w:rPr>
          <w:rFonts w:ascii="Nunito" w:eastAsia="Times New Roman" w:hAnsi="Nunito" w:cs="Times New Roman"/>
          <w:color w:val="333333"/>
          <w:kern w:val="0"/>
          <w:sz w:val="18"/>
          <w:szCs w:val="18"/>
          <w:lang w:eastAsia="es-UY"/>
          <w14:ligatures w14:val="none"/>
        </w:rPr>
      </w:pPr>
      <w:r w:rsidRPr="00AC394F">
        <w:rPr>
          <w:rFonts w:ascii="Nunito" w:eastAsia="Times New Roman" w:hAnsi="Nunito" w:cs="Times New Roman"/>
          <w:color w:val="333333"/>
          <w:kern w:val="0"/>
          <w:sz w:val="18"/>
          <w:szCs w:val="18"/>
          <w:bdr w:val="none" w:sz="0" w:space="0" w:color="auto" w:frame="1"/>
          <w:lang w:eastAsia="es-UY"/>
          <w14:ligatures w14:val="none"/>
        </w:rPr>
        <w:t>21 de noviembre de 2024</w:t>
      </w:r>
    </w:p>
    <w:p w14:paraId="5B12BA27" w14:textId="77777777" w:rsidR="00AC394F" w:rsidRPr="00AC394F" w:rsidRDefault="00AC394F" w:rsidP="00AC394F">
      <w:pPr>
        <w:spacing w:after="0" w:line="360" w:lineRule="atLeast"/>
        <w:rPr>
          <w:rFonts w:ascii="Nunito" w:eastAsia="Times New Roman" w:hAnsi="Nunito" w:cs="Times New Roman"/>
          <w:color w:val="333333"/>
          <w:kern w:val="0"/>
          <w:sz w:val="18"/>
          <w:szCs w:val="18"/>
          <w:lang w:eastAsia="es-UY"/>
          <w14:ligatures w14:val="none"/>
        </w:rPr>
      </w:pPr>
      <w:r w:rsidRPr="00AC394F">
        <w:rPr>
          <w:rFonts w:ascii="Nunito" w:eastAsia="Times New Roman" w:hAnsi="Nunito" w:cs="Times New Roman"/>
          <w:color w:val="333333"/>
          <w:kern w:val="0"/>
          <w:sz w:val="18"/>
          <w:szCs w:val="18"/>
          <w:bdr w:val="none" w:sz="0" w:space="0" w:color="auto" w:frame="1"/>
          <w:lang w:eastAsia="es-UY"/>
          <w14:ligatures w14:val="none"/>
        </w:rPr>
        <w:t>02 minutos de lectura</w:t>
      </w:r>
    </w:p>
    <w:p w14:paraId="787C62A6" w14:textId="77777777" w:rsidR="00AC394F" w:rsidRPr="00AC394F" w:rsidRDefault="00AC394F" w:rsidP="00AC394F">
      <w:pPr>
        <w:spacing w:line="240" w:lineRule="auto"/>
        <w:rPr>
          <w:rFonts w:ascii="Nunito" w:eastAsia="Times New Roman" w:hAnsi="Nunito" w:cs="Times New Roman"/>
          <w:color w:val="2C2F34"/>
          <w:kern w:val="0"/>
          <w:sz w:val="21"/>
          <w:szCs w:val="21"/>
          <w:lang w:eastAsia="es-UY"/>
          <w14:ligatures w14:val="none"/>
        </w:rPr>
      </w:pPr>
      <w:r w:rsidRPr="00AC394F">
        <w:rPr>
          <w:rFonts w:ascii="Nunito" w:eastAsia="Times New Roman" w:hAnsi="Nunito" w:cs="Times New Roman"/>
          <w:noProof/>
          <w:color w:val="2C2F34"/>
          <w:kern w:val="0"/>
          <w:sz w:val="21"/>
          <w:szCs w:val="21"/>
          <w:lang w:eastAsia="es-UY"/>
          <w14:ligatures w14:val="none"/>
        </w:rPr>
        <w:drawing>
          <wp:inline distT="0" distB="0" distL="0" distR="0" wp14:anchorId="7C124548" wp14:editId="5FA6A109">
            <wp:extent cx="5159996" cy="2906797"/>
            <wp:effectExtent l="0" t="0" r="3175" b="8255"/>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93498" cy="2925670"/>
                    </a:xfrm>
                    <a:prstGeom prst="rect">
                      <a:avLst/>
                    </a:prstGeom>
                    <a:noFill/>
                    <a:ln>
                      <a:noFill/>
                    </a:ln>
                  </pic:spPr>
                </pic:pic>
              </a:graphicData>
            </a:graphic>
          </wp:inline>
        </w:drawing>
      </w:r>
    </w:p>
    <w:p w14:paraId="56E17D81" w14:textId="77777777" w:rsidR="00AC394F" w:rsidRPr="00AC394F" w:rsidRDefault="00AC394F" w:rsidP="00AC394F">
      <w:pPr>
        <w:numPr>
          <w:ilvl w:val="0"/>
          <w:numId w:val="1"/>
        </w:numPr>
        <w:spacing w:after="0" w:line="240" w:lineRule="auto"/>
        <w:ind w:left="495"/>
        <w:rPr>
          <w:rFonts w:ascii="Nunito" w:eastAsia="Times New Roman" w:hAnsi="Nunito" w:cs="Times New Roman"/>
          <w:b/>
          <w:bCs/>
          <w:color w:val="2C2F34"/>
          <w:kern w:val="0"/>
          <w:sz w:val="38"/>
          <w:szCs w:val="38"/>
          <w:lang w:eastAsia="es-UY"/>
          <w14:ligatures w14:val="none"/>
        </w:rPr>
      </w:pPr>
      <w:hyperlink r:id="rId6" w:history="1">
        <w:r w:rsidRPr="00AC394F">
          <w:rPr>
            <w:rFonts w:ascii="Nunito" w:eastAsia="Times New Roman" w:hAnsi="Nunito" w:cs="Times New Roman"/>
            <w:b/>
            <w:bCs/>
            <w:color w:val="FF6600"/>
            <w:kern w:val="0"/>
            <w:sz w:val="38"/>
            <w:szCs w:val="38"/>
            <w:u w:val="single"/>
            <w:bdr w:val="none" w:sz="0" w:space="0" w:color="auto" w:frame="1"/>
            <w:lang w:eastAsia="es-UY"/>
            <w14:ligatures w14:val="none"/>
          </w:rPr>
          <w:t>Por el Padre Francisco Aquino Júnior</w:t>
        </w:r>
      </w:hyperlink>
    </w:p>
    <w:p w14:paraId="643C53B3" w14:textId="77777777" w:rsidR="00AC394F" w:rsidRDefault="00AC394F" w:rsidP="00AC394F">
      <w:pPr>
        <w:spacing w:after="0" w:line="240" w:lineRule="auto"/>
        <w:jc w:val="both"/>
        <w:rPr>
          <w:rFonts w:ascii="Nunito" w:eastAsia="Times New Roman" w:hAnsi="Nunito" w:cs="Times New Roman"/>
          <w:color w:val="2C2F34"/>
          <w:kern w:val="0"/>
          <w:sz w:val="23"/>
          <w:szCs w:val="23"/>
          <w:bdr w:val="none" w:sz="0" w:space="0" w:color="auto" w:frame="1"/>
          <w:lang w:eastAsia="es-UY"/>
          <w14:ligatures w14:val="none"/>
        </w:rPr>
      </w:pPr>
    </w:p>
    <w:p w14:paraId="239899CD" w14:textId="4D201E6F" w:rsidR="00AC394F" w:rsidRDefault="00AC394F" w:rsidP="00AC394F">
      <w:pPr>
        <w:spacing w:after="0" w:line="240" w:lineRule="auto"/>
        <w:jc w:val="both"/>
        <w:rPr>
          <w:rFonts w:ascii="Nunito" w:eastAsia="Times New Roman" w:hAnsi="Nunito" w:cs="Times New Roman"/>
          <w:color w:val="2C2F34"/>
          <w:kern w:val="0"/>
          <w:sz w:val="23"/>
          <w:szCs w:val="23"/>
          <w:bdr w:val="none" w:sz="0" w:space="0" w:color="auto" w:frame="1"/>
          <w:lang w:eastAsia="es-UY"/>
          <w14:ligatures w14:val="none"/>
        </w:rPr>
      </w:pPr>
      <w:r w:rsidRPr="00AC394F">
        <w:rPr>
          <w:rFonts w:ascii="Nunito" w:eastAsia="Times New Roman" w:hAnsi="Nunito" w:cs="Times New Roman"/>
          <w:color w:val="2C2F34"/>
          <w:kern w:val="0"/>
          <w:sz w:val="23"/>
          <w:szCs w:val="23"/>
          <w:bdr w:val="none" w:sz="0" w:space="0" w:color="auto" w:frame="1"/>
          <w:lang w:eastAsia="es-UY"/>
          <w14:ligatures w14:val="none"/>
        </w:rPr>
        <w:t xml:space="preserve">El ataque terrorista al Tribunal Supremo Federal la noche del 13 de noviembre es una advertencia del peligro de amnistía para los golpistas el 8 de enero de 2023. No es un brote psiquiátrico ni un acto aislado. Es parte de un movimiento más amplio para atacar las instituciones del Estado Democrático de Derecho por parte de la extrema derecha en Brasil y en todo el mundo. Basta mirar las redes sociales de Francisco </w:t>
      </w:r>
      <w:proofErr w:type="spellStart"/>
      <w:r w:rsidRPr="00AC394F">
        <w:rPr>
          <w:rFonts w:ascii="Nunito" w:eastAsia="Times New Roman" w:hAnsi="Nunito" w:cs="Times New Roman"/>
          <w:color w:val="2C2F34"/>
          <w:kern w:val="0"/>
          <w:sz w:val="23"/>
          <w:szCs w:val="23"/>
          <w:bdr w:val="none" w:sz="0" w:space="0" w:color="auto" w:frame="1"/>
          <w:lang w:eastAsia="es-UY"/>
          <w14:ligatures w14:val="none"/>
        </w:rPr>
        <w:t>Wanderley</w:t>
      </w:r>
      <w:proofErr w:type="spellEnd"/>
      <w:r w:rsidRPr="00AC394F">
        <w:rPr>
          <w:rFonts w:ascii="Nunito" w:eastAsia="Times New Roman" w:hAnsi="Nunito" w:cs="Times New Roman"/>
          <w:color w:val="2C2F34"/>
          <w:kern w:val="0"/>
          <w:sz w:val="23"/>
          <w:szCs w:val="23"/>
          <w:bdr w:val="none" w:sz="0" w:space="0" w:color="auto" w:frame="1"/>
          <w:lang w:eastAsia="es-UY"/>
          <w14:ligatures w14:val="none"/>
        </w:rPr>
        <w:t xml:space="preserve"> </w:t>
      </w:r>
      <w:proofErr w:type="spellStart"/>
      <w:r w:rsidRPr="00AC394F">
        <w:rPr>
          <w:rFonts w:ascii="Nunito" w:eastAsia="Times New Roman" w:hAnsi="Nunito" w:cs="Times New Roman"/>
          <w:color w:val="2C2F34"/>
          <w:kern w:val="0"/>
          <w:sz w:val="23"/>
          <w:szCs w:val="23"/>
          <w:bdr w:val="none" w:sz="0" w:space="0" w:color="auto" w:frame="1"/>
          <w:lang w:eastAsia="es-UY"/>
          <w14:ligatures w14:val="none"/>
        </w:rPr>
        <w:t>Luiz</w:t>
      </w:r>
      <w:proofErr w:type="spellEnd"/>
      <w:r w:rsidRPr="00AC394F">
        <w:rPr>
          <w:rFonts w:ascii="Nunito" w:eastAsia="Times New Roman" w:hAnsi="Nunito" w:cs="Times New Roman"/>
          <w:color w:val="2C2F34"/>
          <w:kern w:val="0"/>
          <w:sz w:val="23"/>
          <w:szCs w:val="23"/>
          <w:bdr w:val="none" w:sz="0" w:space="0" w:color="auto" w:frame="1"/>
          <w:lang w:eastAsia="es-UY"/>
          <w14:ligatures w14:val="none"/>
        </w:rPr>
        <w:t xml:space="preserve"> (</w:t>
      </w:r>
      <w:proofErr w:type="spellStart"/>
      <w:r w:rsidRPr="00AC394F">
        <w:rPr>
          <w:rFonts w:ascii="Nunito" w:eastAsia="Times New Roman" w:hAnsi="Nunito" w:cs="Times New Roman"/>
          <w:color w:val="2C2F34"/>
          <w:kern w:val="0"/>
          <w:sz w:val="23"/>
          <w:szCs w:val="23"/>
          <w:bdr w:val="none" w:sz="0" w:space="0" w:color="auto" w:frame="1"/>
          <w:lang w:eastAsia="es-UY"/>
          <w14:ligatures w14:val="none"/>
        </w:rPr>
        <w:t>Tiu</w:t>
      </w:r>
      <w:proofErr w:type="spellEnd"/>
      <w:r w:rsidRPr="00AC394F">
        <w:rPr>
          <w:rFonts w:ascii="Nunito" w:eastAsia="Times New Roman" w:hAnsi="Nunito" w:cs="Times New Roman"/>
          <w:color w:val="2C2F34"/>
          <w:kern w:val="0"/>
          <w:sz w:val="23"/>
          <w:szCs w:val="23"/>
          <w:bdr w:val="none" w:sz="0" w:space="0" w:color="auto" w:frame="1"/>
          <w:lang w:eastAsia="es-UY"/>
          <w14:ligatures w14:val="none"/>
        </w:rPr>
        <w:t xml:space="preserve"> </w:t>
      </w:r>
      <w:proofErr w:type="spellStart"/>
      <w:r w:rsidRPr="00AC394F">
        <w:rPr>
          <w:rFonts w:ascii="Nunito" w:eastAsia="Times New Roman" w:hAnsi="Nunito" w:cs="Times New Roman"/>
          <w:color w:val="2C2F34"/>
          <w:kern w:val="0"/>
          <w:sz w:val="23"/>
          <w:szCs w:val="23"/>
          <w:bdr w:val="none" w:sz="0" w:space="0" w:color="auto" w:frame="1"/>
          <w:lang w:eastAsia="es-UY"/>
          <w14:ligatures w14:val="none"/>
        </w:rPr>
        <w:t>França</w:t>
      </w:r>
      <w:proofErr w:type="spellEnd"/>
      <w:r w:rsidRPr="00AC394F">
        <w:rPr>
          <w:rFonts w:ascii="Nunito" w:eastAsia="Times New Roman" w:hAnsi="Nunito" w:cs="Times New Roman"/>
          <w:color w:val="2C2F34"/>
          <w:kern w:val="0"/>
          <w:sz w:val="23"/>
          <w:szCs w:val="23"/>
          <w:bdr w:val="none" w:sz="0" w:space="0" w:color="auto" w:frame="1"/>
          <w:lang w:eastAsia="es-UY"/>
          <w14:ligatures w14:val="none"/>
        </w:rPr>
        <w:t>) y recordar que fue candidato a concejal en Rio do Sul (SC) por PL.</w:t>
      </w:r>
    </w:p>
    <w:p w14:paraId="09F6CCF5" w14:textId="77777777" w:rsidR="00AC394F" w:rsidRPr="00AC394F" w:rsidRDefault="00AC394F" w:rsidP="00AC394F">
      <w:pPr>
        <w:spacing w:after="0" w:line="240" w:lineRule="auto"/>
        <w:jc w:val="both"/>
        <w:rPr>
          <w:rFonts w:ascii="Nunito" w:eastAsia="Times New Roman" w:hAnsi="Nunito" w:cs="Times New Roman"/>
          <w:color w:val="2C2F34"/>
          <w:kern w:val="0"/>
          <w:sz w:val="23"/>
          <w:szCs w:val="23"/>
          <w:lang w:eastAsia="es-UY"/>
          <w14:ligatures w14:val="none"/>
        </w:rPr>
      </w:pPr>
    </w:p>
    <w:p w14:paraId="30512271" w14:textId="77777777" w:rsidR="00AC394F" w:rsidRPr="00AC394F" w:rsidRDefault="00AC394F" w:rsidP="00AC394F">
      <w:pPr>
        <w:spacing w:after="0" w:line="240" w:lineRule="auto"/>
        <w:jc w:val="both"/>
        <w:rPr>
          <w:rFonts w:ascii="Nunito" w:eastAsia="Times New Roman" w:hAnsi="Nunito" w:cs="Times New Roman"/>
          <w:color w:val="2C2F34"/>
          <w:kern w:val="0"/>
          <w:sz w:val="23"/>
          <w:szCs w:val="23"/>
          <w:lang w:eastAsia="es-UY"/>
          <w14:ligatures w14:val="none"/>
        </w:rPr>
      </w:pPr>
      <w:r w:rsidRPr="00AC394F">
        <w:rPr>
          <w:rFonts w:ascii="Nunito" w:eastAsia="Times New Roman" w:hAnsi="Nunito" w:cs="Times New Roman"/>
          <w:color w:val="2C2F34"/>
          <w:kern w:val="0"/>
          <w:sz w:val="23"/>
          <w:szCs w:val="23"/>
          <w:bdr w:val="none" w:sz="0" w:space="0" w:color="auto" w:frame="1"/>
          <w:lang w:eastAsia="es-UY"/>
          <w14:ligatures w14:val="none"/>
        </w:rPr>
        <w:t>La amnistía para los golpistas y su mayor ícono es alentar la expansión de grupos extremistas, legitimar el terrorismo político y comprometer aún más nuestra frágil democracia. Los desacuerdos, las disputas y los enfrentamientos políticos son legítimos e incluso saludables en una democracia. Pero esto requiere tolerancia y diálogo entre las partes. Y exige respeto a las personas, a las reglas del juego y a los resultados de las urnas. La amnistía es un instrumento político legítimo cuando corrige injusticias y no pone en riesgo el bien común, pero es una perversión cuando es resultado de la colusión política para favorecer intereses que socavan un bien común como la democracia. No se puede conceder amnistía a golpistas y terroristas, del mismo modo que no se puede conceder amnistía a narcotraficantes y violadores.</w:t>
      </w:r>
    </w:p>
    <w:p w14:paraId="33A32224" w14:textId="77777777" w:rsidR="00AC394F" w:rsidRDefault="00AC394F" w:rsidP="00AC394F">
      <w:pPr>
        <w:spacing w:after="0" w:line="240" w:lineRule="auto"/>
        <w:jc w:val="both"/>
        <w:rPr>
          <w:rFonts w:ascii="Nunito" w:eastAsia="Times New Roman" w:hAnsi="Nunito" w:cs="Times New Roman"/>
          <w:color w:val="2C2F34"/>
          <w:kern w:val="0"/>
          <w:sz w:val="23"/>
          <w:szCs w:val="23"/>
          <w:bdr w:val="none" w:sz="0" w:space="0" w:color="auto" w:frame="1"/>
          <w:lang w:eastAsia="es-UY"/>
          <w14:ligatures w14:val="none"/>
        </w:rPr>
      </w:pPr>
      <w:r w:rsidRPr="00AC394F">
        <w:rPr>
          <w:rFonts w:ascii="Nunito" w:eastAsia="Times New Roman" w:hAnsi="Nunito" w:cs="Times New Roman"/>
          <w:color w:val="2C2F34"/>
          <w:kern w:val="0"/>
          <w:sz w:val="23"/>
          <w:szCs w:val="23"/>
          <w:bdr w:val="none" w:sz="0" w:space="0" w:color="auto" w:frame="1"/>
          <w:lang w:eastAsia="es-UY"/>
          <w14:ligatures w14:val="none"/>
        </w:rPr>
        <w:lastRenderedPageBreak/>
        <w:t>Y no se trata de odio ni de venganza, sino de responsabilidad social. El odio y la venganza corroen a las personas y a las sociedades desde dentro. Alguien dijo una vez que “el odio es un veneno que se toma con la esperanza de que el enemigo muera”. Es un suicidio personal y social. Pero la alternativa a esto no puede ser la indiferencia o la complicidad con el mal. Es necesario enfrentar el mal, ponerle límites, evitar que siga socavando la dignidad humana, la justicia social y la paz y el bien común. Por amor y no por odio. El amor tiene una dimensión social que se concreta en la defensa, búsqueda y garantía del bien común. Cuando el bien común se ve amenazado, como en el caso de golpes de estado y ataques terroristas contra la democracia, su defensa y protección es un acto de amor.</w:t>
      </w:r>
    </w:p>
    <w:p w14:paraId="0C1CFAC6" w14:textId="77777777" w:rsidR="00AC394F" w:rsidRPr="00AC394F" w:rsidRDefault="00AC394F" w:rsidP="00AC394F">
      <w:pPr>
        <w:spacing w:after="0" w:line="240" w:lineRule="auto"/>
        <w:jc w:val="both"/>
        <w:rPr>
          <w:rFonts w:ascii="Nunito" w:eastAsia="Times New Roman" w:hAnsi="Nunito" w:cs="Times New Roman"/>
          <w:color w:val="2C2F34"/>
          <w:kern w:val="0"/>
          <w:sz w:val="23"/>
          <w:szCs w:val="23"/>
          <w:lang w:eastAsia="es-UY"/>
          <w14:ligatures w14:val="none"/>
        </w:rPr>
      </w:pPr>
    </w:p>
    <w:p w14:paraId="146197CC" w14:textId="77777777" w:rsidR="00AC394F" w:rsidRDefault="00AC394F" w:rsidP="00AC394F">
      <w:pPr>
        <w:spacing w:after="0" w:line="240" w:lineRule="auto"/>
        <w:jc w:val="both"/>
        <w:rPr>
          <w:rFonts w:ascii="Nunito" w:eastAsia="Times New Roman" w:hAnsi="Nunito" w:cs="Times New Roman"/>
          <w:color w:val="2C2F34"/>
          <w:kern w:val="0"/>
          <w:sz w:val="23"/>
          <w:szCs w:val="23"/>
          <w:bdr w:val="none" w:sz="0" w:space="0" w:color="auto" w:frame="1"/>
          <w:lang w:eastAsia="es-UY"/>
          <w14:ligatures w14:val="none"/>
        </w:rPr>
      </w:pPr>
      <w:r w:rsidRPr="00AC394F">
        <w:rPr>
          <w:rFonts w:ascii="Nunito" w:eastAsia="Times New Roman" w:hAnsi="Nunito" w:cs="Times New Roman"/>
          <w:color w:val="2C2F34"/>
          <w:kern w:val="0"/>
          <w:sz w:val="23"/>
          <w:szCs w:val="23"/>
          <w:bdr w:val="none" w:sz="0" w:space="0" w:color="auto" w:frame="1"/>
          <w:lang w:eastAsia="es-UY"/>
          <w14:ligatures w14:val="none"/>
        </w:rPr>
        <w:t>En la encíclica </w:t>
      </w:r>
      <w:r w:rsidRPr="00AC394F">
        <w:rPr>
          <w:rFonts w:ascii="Nunito" w:eastAsia="Times New Roman" w:hAnsi="Nunito" w:cs="Times New Roman"/>
          <w:i/>
          <w:iCs/>
          <w:color w:val="2C2F34"/>
          <w:kern w:val="0"/>
          <w:sz w:val="23"/>
          <w:szCs w:val="23"/>
          <w:bdr w:val="none" w:sz="0" w:space="0" w:color="auto" w:frame="1"/>
          <w:lang w:eastAsia="es-UY"/>
          <w14:ligatures w14:val="none"/>
        </w:rPr>
        <w:t xml:space="preserve">Fratelli </w:t>
      </w:r>
      <w:proofErr w:type="spellStart"/>
      <w:r w:rsidRPr="00AC394F">
        <w:rPr>
          <w:rFonts w:ascii="Nunito" w:eastAsia="Times New Roman" w:hAnsi="Nunito" w:cs="Times New Roman"/>
          <w:i/>
          <w:iCs/>
          <w:color w:val="2C2F34"/>
          <w:kern w:val="0"/>
          <w:sz w:val="23"/>
          <w:szCs w:val="23"/>
          <w:bdr w:val="none" w:sz="0" w:space="0" w:color="auto" w:frame="1"/>
          <w:lang w:eastAsia="es-UY"/>
          <w14:ligatures w14:val="none"/>
        </w:rPr>
        <w:t>Tutti</w:t>
      </w:r>
      <w:proofErr w:type="spellEnd"/>
      <w:r w:rsidRPr="00AC394F">
        <w:rPr>
          <w:rFonts w:ascii="Nunito" w:eastAsia="Times New Roman" w:hAnsi="Nunito" w:cs="Times New Roman"/>
          <w:color w:val="2C2F34"/>
          <w:kern w:val="0"/>
          <w:sz w:val="23"/>
          <w:szCs w:val="23"/>
          <w:bdr w:val="none" w:sz="0" w:space="0" w:color="auto" w:frame="1"/>
          <w:lang w:eastAsia="es-UY"/>
          <w14:ligatures w14:val="none"/>
        </w:rPr>
        <w:t> : sobre la fraternidad y la amistad social, hablando de “caminos de paz”, el Papa Francisco escribió una página hermosa y desconcertante sobre el perdón. Recuerde que perdón no significa “olvido” o “impunidad”. Advierte contra “la tentación de pasar página, diciendo que ha pasado mucho tiempo y hay que mirar hacia adelante”. Y, al mismo tiempo que insiste en la universalidad del amor, afirma que “amar a un opresor no significa permitirle seguir oprimiendo, ni hacerle pensar que lo que hace es aceptable”, sino “buscarle que deje de hacerlo”. oprimir, quitar le da el poder que no sabe utilizar y que lo desfigura como ser humano”. El perdón no es complicidad con el mal.</w:t>
      </w:r>
    </w:p>
    <w:p w14:paraId="2D0AF981" w14:textId="77777777" w:rsidR="00AC394F" w:rsidRPr="00AC394F" w:rsidRDefault="00AC394F" w:rsidP="00AC394F">
      <w:pPr>
        <w:spacing w:after="0" w:line="240" w:lineRule="auto"/>
        <w:jc w:val="both"/>
        <w:rPr>
          <w:rFonts w:ascii="Nunito" w:eastAsia="Times New Roman" w:hAnsi="Nunito" w:cs="Times New Roman"/>
          <w:color w:val="2C2F34"/>
          <w:kern w:val="0"/>
          <w:sz w:val="23"/>
          <w:szCs w:val="23"/>
          <w:lang w:eastAsia="es-UY"/>
          <w14:ligatures w14:val="none"/>
        </w:rPr>
      </w:pPr>
    </w:p>
    <w:p w14:paraId="7F0922FB" w14:textId="77777777" w:rsidR="00AC394F" w:rsidRPr="00AC394F" w:rsidRDefault="00AC394F" w:rsidP="00AC394F">
      <w:pPr>
        <w:spacing w:after="0" w:line="240" w:lineRule="auto"/>
        <w:jc w:val="both"/>
        <w:rPr>
          <w:rFonts w:ascii="Nunito" w:eastAsia="Times New Roman" w:hAnsi="Nunito" w:cs="Times New Roman"/>
          <w:color w:val="2C2F34"/>
          <w:kern w:val="0"/>
          <w:sz w:val="23"/>
          <w:szCs w:val="23"/>
          <w:lang w:eastAsia="es-UY"/>
          <w14:ligatures w14:val="none"/>
        </w:rPr>
      </w:pPr>
      <w:r w:rsidRPr="00AC394F">
        <w:rPr>
          <w:rFonts w:ascii="Nunito" w:eastAsia="Times New Roman" w:hAnsi="Nunito" w:cs="Times New Roman"/>
          <w:color w:val="2C2F34"/>
          <w:kern w:val="0"/>
          <w:sz w:val="23"/>
          <w:szCs w:val="23"/>
          <w:bdr w:val="none" w:sz="0" w:space="0" w:color="auto" w:frame="1"/>
          <w:lang w:eastAsia="es-UY"/>
          <w14:ligatures w14:val="none"/>
        </w:rPr>
        <w:t>Necesitamos defender la dignidad humana de los golpistas y terroristas, así como de todos los que están en prisión. Pero no podemos confundir defender la dignidad humana con relativizar, legitimar y promover el terrorismo político.</w:t>
      </w:r>
    </w:p>
    <w:p w14:paraId="2A32D202" w14:textId="2B80EB5C" w:rsidR="00926044" w:rsidRDefault="00AC394F">
      <w:hyperlink r:id="rId7" w:history="1">
        <w:r w:rsidRPr="00D030A8">
          <w:rPr>
            <w:rStyle w:val="Hipervnculo"/>
          </w:rPr>
          <w:t>https://portaldascebs.org.br/em-defesa-da-democracia-sem-anistia/</w:t>
        </w:r>
      </w:hyperlink>
    </w:p>
    <w:p w14:paraId="4524BF6C" w14:textId="77777777" w:rsidR="00AC394F" w:rsidRDefault="00AC394F"/>
    <w:sectPr w:rsidR="00AC39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unito">
    <w:charset w:val="00"/>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136075"/>
    <w:multiLevelType w:val="multilevel"/>
    <w:tmpl w:val="80641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0998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94F"/>
    <w:rsid w:val="006933B3"/>
    <w:rsid w:val="00926044"/>
    <w:rsid w:val="00AC394F"/>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EB70"/>
  <w15:chartTrackingRefBased/>
  <w15:docId w15:val="{5288C193-E9B6-4A17-8415-28D49DF98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C39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C39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C394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C394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C394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C394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C394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C394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C394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394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C394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C394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C394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C394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C394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C394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C394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C394F"/>
    <w:rPr>
      <w:rFonts w:eastAsiaTheme="majorEastAsia" w:cstheme="majorBidi"/>
      <w:color w:val="272727" w:themeColor="text1" w:themeTint="D8"/>
    </w:rPr>
  </w:style>
  <w:style w:type="paragraph" w:styleId="Ttulo">
    <w:name w:val="Title"/>
    <w:basedOn w:val="Normal"/>
    <w:next w:val="Normal"/>
    <w:link w:val="TtuloCar"/>
    <w:uiPriority w:val="10"/>
    <w:qFormat/>
    <w:rsid w:val="00AC39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39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C394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C394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C394F"/>
    <w:pPr>
      <w:spacing w:before="160"/>
      <w:jc w:val="center"/>
    </w:pPr>
    <w:rPr>
      <w:i/>
      <w:iCs/>
      <w:color w:val="404040" w:themeColor="text1" w:themeTint="BF"/>
    </w:rPr>
  </w:style>
  <w:style w:type="character" w:customStyle="1" w:styleId="CitaCar">
    <w:name w:val="Cita Car"/>
    <w:basedOn w:val="Fuentedeprrafopredeter"/>
    <w:link w:val="Cita"/>
    <w:uiPriority w:val="29"/>
    <w:rsid w:val="00AC394F"/>
    <w:rPr>
      <w:i/>
      <w:iCs/>
      <w:color w:val="404040" w:themeColor="text1" w:themeTint="BF"/>
    </w:rPr>
  </w:style>
  <w:style w:type="paragraph" w:styleId="Prrafodelista">
    <w:name w:val="List Paragraph"/>
    <w:basedOn w:val="Normal"/>
    <w:uiPriority w:val="34"/>
    <w:qFormat/>
    <w:rsid w:val="00AC394F"/>
    <w:pPr>
      <w:ind w:left="720"/>
      <w:contextualSpacing/>
    </w:pPr>
  </w:style>
  <w:style w:type="character" w:styleId="nfasisintenso">
    <w:name w:val="Intense Emphasis"/>
    <w:basedOn w:val="Fuentedeprrafopredeter"/>
    <w:uiPriority w:val="21"/>
    <w:qFormat/>
    <w:rsid w:val="00AC394F"/>
    <w:rPr>
      <w:i/>
      <w:iCs/>
      <w:color w:val="0F4761" w:themeColor="accent1" w:themeShade="BF"/>
    </w:rPr>
  </w:style>
  <w:style w:type="paragraph" w:styleId="Citadestacada">
    <w:name w:val="Intense Quote"/>
    <w:basedOn w:val="Normal"/>
    <w:next w:val="Normal"/>
    <w:link w:val="CitadestacadaCar"/>
    <w:uiPriority w:val="30"/>
    <w:qFormat/>
    <w:rsid w:val="00AC39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C394F"/>
    <w:rPr>
      <w:i/>
      <w:iCs/>
      <w:color w:val="0F4761" w:themeColor="accent1" w:themeShade="BF"/>
    </w:rPr>
  </w:style>
  <w:style w:type="character" w:styleId="Referenciaintensa">
    <w:name w:val="Intense Reference"/>
    <w:basedOn w:val="Fuentedeprrafopredeter"/>
    <w:uiPriority w:val="32"/>
    <w:qFormat/>
    <w:rsid w:val="00AC394F"/>
    <w:rPr>
      <w:b/>
      <w:bCs/>
      <w:smallCaps/>
      <w:color w:val="0F4761" w:themeColor="accent1" w:themeShade="BF"/>
      <w:spacing w:val="5"/>
    </w:rPr>
  </w:style>
  <w:style w:type="character" w:styleId="Hipervnculo">
    <w:name w:val="Hyperlink"/>
    <w:basedOn w:val="Fuentedeprrafopredeter"/>
    <w:uiPriority w:val="99"/>
    <w:unhideWhenUsed/>
    <w:rsid w:val="00AC394F"/>
    <w:rPr>
      <w:color w:val="467886" w:themeColor="hyperlink"/>
      <w:u w:val="single"/>
    </w:rPr>
  </w:style>
  <w:style w:type="character" w:styleId="Mencinsinresolver">
    <w:name w:val="Unresolved Mention"/>
    <w:basedOn w:val="Fuentedeprrafopredeter"/>
    <w:uiPriority w:val="99"/>
    <w:semiHidden/>
    <w:unhideWhenUsed/>
    <w:rsid w:val="00AC3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797396">
      <w:bodyDiv w:val="1"/>
      <w:marLeft w:val="0"/>
      <w:marRight w:val="0"/>
      <w:marTop w:val="0"/>
      <w:marBottom w:val="0"/>
      <w:divBdr>
        <w:top w:val="none" w:sz="0" w:space="0" w:color="auto"/>
        <w:left w:val="none" w:sz="0" w:space="0" w:color="auto"/>
        <w:bottom w:val="none" w:sz="0" w:space="0" w:color="auto"/>
        <w:right w:val="none" w:sz="0" w:space="0" w:color="auto"/>
      </w:divBdr>
      <w:divsChild>
        <w:div w:id="693728079">
          <w:marLeft w:val="0"/>
          <w:marRight w:val="0"/>
          <w:marTop w:val="0"/>
          <w:marBottom w:val="0"/>
          <w:divBdr>
            <w:top w:val="none" w:sz="0" w:space="0" w:color="auto"/>
            <w:left w:val="none" w:sz="0" w:space="0" w:color="auto"/>
            <w:bottom w:val="none" w:sz="0" w:space="0" w:color="auto"/>
            <w:right w:val="none" w:sz="0" w:space="0" w:color="auto"/>
          </w:divBdr>
          <w:divsChild>
            <w:div w:id="230193402">
              <w:marLeft w:val="0"/>
              <w:marRight w:val="0"/>
              <w:marTop w:val="450"/>
              <w:marBottom w:val="0"/>
              <w:divBdr>
                <w:top w:val="none" w:sz="0" w:space="0" w:color="auto"/>
                <w:left w:val="none" w:sz="0" w:space="0" w:color="auto"/>
                <w:bottom w:val="none" w:sz="0" w:space="0" w:color="auto"/>
                <w:right w:val="none" w:sz="0" w:space="0" w:color="auto"/>
              </w:divBdr>
              <w:divsChild>
                <w:div w:id="1288006320">
                  <w:marLeft w:val="0"/>
                  <w:marRight w:val="0"/>
                  <w:marTop w:val="0"/>
                  <w:marBottom w:val="0"/>
                  <w:divBdr>
                    <w:top w:val="none" w:sz="0" w:space="0" w:color="auto"/>
                    <w:left w:val="none" w:sz="0" w:space="0" w:color="auto"/>
                    <w:bottom w:val="none" w:sz="0" w:space="0" w:color="auto"/>
                    <w:right w:val="none" w:sz="0" w:space="0" w:color="auto"/>
                  </w:divBdr>
                  <w:divsChild>
                    <w:div w:id="96797699">
                      <w:marLeft w:val="0"/>
                      <w:marRight w:val="0"/>
                      <w:marTop w:val="300"/>
                      <w:marBottom w:val="300"/>
                      <w:divBdr>
                        <w:top w:val="none" w:sz="0" w:space="0" w:color="auto"/>
                        <w:left w:val="none" w:sz="0" w:space="0" w:color="auto"/>
                        <w:bottom w:val="none" w:sz="0" w:space="0" w:color="auto"/>
                        <w:right w:val="none" w:sz="0" w:space="0" w:color="auto"/>
                      </w:divBdr>
                    </w:div>
                    <w:div w:id="1218936169">
                      <w:marLeft w:val="0"/>
                      <w:marRight w:val="0"/>
                      <w:marTop w:val="75"/>
                      <w:marBottom w:val="0"/>
                      <w:divBdr>
                        <w:top w:val="none" w:sz="0" w:space="0" w:color="auto"/>
                        <w:left w:val="none" w:sz="0" w:space="0" w:color="auto"/>
                        <w:bottom w:val="none" w:sz="0" w:space="0" w:color="auto"/>
                        <w:right w:val="none" w:sz="0" w:space="0" w:color="auto"/>
                      </w:divBdr>
                      <w:divsChild>
                        <w:div w:id="269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685972">
          <w:marLeft w:val="0"/>
          <w:marRight w:val="0"/>
          <w:marTop w:val="450"/>
          <w:marBottom w:val="0"/>
          <w:divBdr>
            <w:top w:val="none" w:sz="0" w:space="0" w:color="auto"/>
            <w:left w:val="none" w:sz="0" w:space="0" w:color="auto"/>
            <w:bottom w:val="none" w:sz="0" w:space="0" w:color="auto"/>
            <w:right w:val="none" w:sz="0" w:space="0" w:color="auto"/>
          </w:divBdr>
          <w:divsChild>
            <w:div w:id="1723866383">
              <w:marLeft w:val="-225"/>
              <w:marRight w:val="-225"/>
              <w:marTop w:val="0"/>
              <w:marBottom w:val="0"/>
              <w:divBdr>
                <w:top w:val="none" w:sz="0" w:space="0" w:color="auto"/>
                <w:left w:val="none" w:sz="0" w:space="0" w:color="auto"/>
                <w:bottom w:val="none" w:sz="0" w:space="0" w:color="auto"/>
                <w:right w:val="none" w:sz="0" w:space="0" w:color="auto"/>
              </w:divBdr>
              <w:divsChild>
                <w:div w:id="1656103634">
                  <w:marLeft w:val="0"/>
                  <w:marRight w:val="0"/>
                  <w:marTop w:val="0"/>
                  <w:marBottom w:val="0"/>
                  <w:divBdr>
                    <w:top w:val="none" w:sz="0" w:space="0" w:color="auto"/>
                    <w:left w:val="none" w:sz="0" w:space="0" w:color="auto"/>
                    <w:bottom w:val="none" w:sz="0" w:space="0" w:color="auto"/>
                    <w:right w:val="none" w:sz="0" w:space="0" w:color="auto"/>
                  </w:divBdr>
                  <w:divsChild>
                    <w:div w:id="1258906371">
                      <w:marLeft w:val="0"/>
                      <w:marRight w:val="0"/>
                      <w:marTop w:val="0"/>
                      <w:marBottom w:val="450"/>
                      <w:divBdr>
                        <w:top w:val="none" w:sz="0" w:space="0" w:color="auto"/>
                        <w:left w:val="none" w:sz="0" w:space="0" w:color="auto"/>
                        <w:bottom w:val="none" w:sz="0" w:space="0" w:color="auto"/>
                        <w:right w:val="none" w:sz="0" w:space="0" w:color="auto"/>
                      </w:divBdr>
                      <w:divsChild>
                        <w:div w:id="932668358">
                          <w:marLeft w:val="0"/>
                          <w:marRight w:val="0"/>
                          <w:marTop w:val="0"/>
                          <w:marBottom w:val="0"/>
                          <w:divBdr>
                            <w:top w:val="none" w:sz="0" w:space="0" w:color="auto"/>
                            <w:left w:val="none" w:sz="0" w:space="0" w:color="auto"/>
                            <w:bottom w:val="none" w:sz="0" w:space="0" w:color="auto"/>
                            <w:right w:val="none" w:sz="0" w:space="0" w:color="auto"/>
                          </w:divBdr>
                        </w:div>
                      </w:divsChild>
                    </w:div>
                    <w:div w:id="4584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dascebs.org.br/em-defesa-da-democracia-sem-anist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aldascebs.org.br/autor-colunista/francisco-aquino-j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529</Words>
  <Characters>2910</Characters>
  <Application>Microsoft Office Word</Application>
  <DocSecurity>0</DocSecurity>
  <Lines>24</Lines>
  <Paragraphs>6</Paragraphs>
  <ScaleCrop>false</ScaleCrop>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2024-11-21T18:29:00Z</dcterms:created>
  <dcterms:modified xsi:type="dcterms:W3CDTF">2024-11-21T18:31:00Z</dcterms:modified>
</cp:coreProperties>
</file>