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E09B4A" w14:textId="08F90BC4" w:rsidR="000D5D1F" w:rsidRDefault="000D5D1F" w:rsidP="000D5D1F">
      <w:pPr>
        <w:pStyle w:val="NormalWeb"/>
        <w:spacing w:before="0" w:beforeAutospacing="0" w:after="0" w:afterAutospacing="0"/>
        <w:jc w:val="both"/>
        <w:rPr>
          <w:rStyle w:val="Textoennegrita"/>
          <w:rFonts w:ascii="Arial" w:eastAsiaTheme="majorEastAsia" w:hAnsi="Arial" w:cs="Arial"/>
          <w:color w:val="333333"/>
          <w:sz w:val="26"/>
          <w:szCs w:val="26"/>
        </w:rPr>
      </w:pPr>
      <w:r w:rsidRPr="000D5D1F">
        <w:rPr>
          <w:rStyle w:val="Textoennegrita"/>
          <w:rFonts w:ascii="Arial" w:eastAsiaTheme="majorEastAsia" w:hAnsi="Arial" w:cs="Arial"/>
          <w:color w:val="333333"/>
          <w:sz w:val="26"/>
          <w:szCs w:val="26"/>
        </w:rPr>
        <w:drawing>
          <wp:inline distT="0" distB="0" distL="0" distR="0" wp14:anchorId="554500F8" wp14:editId="2878D2F5">
            <wp:extent cx="5400040" cy="2291080"/>
            <wp:effectExtent l="0" t="0" r="0" b="0"/>
            <wp:docPr id="3461926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92638" name=""/>
                    <pic:cNvPicPr/>
                  </pic:nvPicPr>
                  <pic:blipFill>
                    <a:blip r:embed="rId4"/>
                    <a:stretch>
                      <a:fillRect/>
                    </a:stretch>
                  </pic:blipFill>
                  <pic:spPr>
                    <a:xfrm>
                      <a:off x="0" y="0"/>
                      <a:ext cx="5400040" cy="2291080"/>
                    </a:xfrm>
                    <a:prstGeom prst="rect">
                      <a:avLst/>
                    </a:prstGeom>
                  </pic:spPr>
                </pic:pic>
              </a:graphicData>
            </a:graphic>
          </wp:inline>
        </w:drawing>
      </w:r>
    </w:p>
    <w:p w14:paraId="5968F7B5" w14:textId="77777777" w:rsidR="000D5D1F" w:rsidRDefault="000D5D1F" w:rsidP="000D5D1F">
      <w:pPr>
        <w:pStyle w:val="NormalWeb"/>
        <w:spacing w:before="0" w:beforeAutospacing="0" w:after="0" w:afterAutospacing="0"/>
        <w:jc w:val="both"/>
        <w:rPr>
          <w:rStyle w:val="Textoennegrita"/>
          <w:rFonts w:ascii="Arial" w:eastAsiaTheme="majorEastAsia" w:hAnsi="Arial" w:cs="Arial"/>
          <w:color w:val="333333"/>
          <w:sz w:val="26"/>
          <w:szCs w:val="26"/>
        </w:rPr>
      </w:pPr>
    </w:p>
    <w:p w14:paraId="2967EB57" w14:textId="4A5DD3B0" w:rsidR="000D5D1F" w:rsidRDefault="000D5D1F" w:rsidP="000D5D1F">
      <w:pPr>
        <w:pStyle w:val="NormalWeb"/>
        <w:spacing w:before="0" w:beforeAutospacing="0" w:after="0" w:afterAutospacing="0"/>
        <w:jc w:val="both"/>
        <w:rPr>
          <w:rFonts w:ascii="Arial" w:hAnsi="Arial" w:cs="Arial"/>
          <w:color w:val="333333"/>
          <w:sz w:val="26"/>
          <w:szCs w:val="26"/>
        </w:rPr>
      </w:pPr>
      <w:r>
        <w:rPr>
          <w:rStyle w:val="Textoennegrita"/>
          <w:rFonts w:ascii="Arial" w:eastAsiaTheme="majorEastAsia" w:hAnsi="Arial" w:cs="Arial"/>
          <w:color w:val="333333"/>
          <w:sz w:val="26"/>
          <w:szCs w:val="26"/>
        </w:rPr>
        <w:t>I</w:t>
      </w:r>
      <w:r>
        <w:rPr>
          <w:rStyle w:val="Textoennegrita"/>
          <w:rFonts w:ascii="Arial" w:eastAsiaTheme="majorEastAsia" w:hAnsi="Arial" w:cs="Arial"/>
          <w:color w:val="333333"/>
          <w:sz w:val="26"/>
          <w:szCs w:val="26"/>
        </w:rPr>
        <w:t>srael</w:t>
      </w:r>
      <w:r>
        <w:rPr>
          <w:rFonts w:ascii="Arial" w:hAnsi="Arial" w:cs="Arial"/>
          <w:color w:val="333333"/>
          <w:sz w:val="26"/>
          <w:szCs w:val="26"/>
        </w:rPr>
        <w:t> trata a la población palestina de </w:t>
      </w:r>
      <w:r>
        <w:rPr>
          <w:rStyle w:val="Textoennegrita"/>
          <w:rFonts w:ascii="Arial" w:eastAsiaTheme="majorEastAsia" w:hAnsi="Arial" w:cs="Arial"/>
          <w:color w:val="333333"/>
          <w:sz w:val="26"/>
          <w:szCs w:val="26"/>
        </w:rPr>
        <w:t>Gaza</w:t>
      </w:r>
      <w:r>
        <w:rPr>
          <w:rFonts w:ascii="Arial" w:hAnsi="Arial" w:cs="Arial"/>
          <w:color w:val="333333"/>
          <w:sz w:val="26"/>
          <w:szCs w:val="26"/>
        </w:rPr>
        <w:t> como un grupo infrahumano que no merece derechos humanos ni dignidad, según un informe de </w:t>
      </w:r>
      <w:hyperlink r:id="rId5" w:tgtFrame="_blank" w:history="1">
        <w:r>
          <w:rPr>
            <w:rStyle w:val="Hipervnculo"/>
            <w:rFonts w:ascii="Arial" w:eastAsiaTheme="majorEastAsia" w:hAnsi="Arial" w:cs="Arial"/>
            <w:color w:val="FC6B01"/>
            <w:sz w:val="26"/>
            <w:szCs w:val="26"/>
          </w:rPr>
          <w:t>Amnistía Internacional</w:t>
        </w:r>
      </w:hyperlink>
      <w:r>
        <w:rPr>
          <w:rFonts w:ascii="Arial" w:hAnsi="Arial" w:cs="Arial"/>
          <w:color w:val="333333"/>
          <w:sz w:val="26"/>
          <w:szCs w:val="26"/>
        </w:rPr>
        <w:t> .</w:t>
      </w:r>
    </w:p>
    <w:p w14:paraId="191AD0BE" w14:textId="77777777" w:rsidR="000D5D1F" w:rsidRDefault="000D5D1F" w:rsidP="000D5D1F">
      <w:pPr>
        <w:pStyle w:val="NormalWeb"/>
        <w:spacing w:before="0" w:beforeAutospacing="0" w:after="0" w:afterAutospacing="0"/>
        <w:jc w:val="both"/>
        <w:rPr>
          <w:rFonts w:ascii="Arial" w:hAnsi="Arial" w:cs="Arial"/>
          <w:color w:val="333333"/>
          <w:sz w:val="26"/>
          <w:szCs w:val="26"/>
        </w:rPr>
      </w:pPr>
    </w:p>
    <w:p w14:paraId="12BC29F2" w14:textId="77777777" w:rsidR="000D5D1F" w:rsidRDefault="000D5D1F" w:rsidP="000D5D1F">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El informe lo publica </w:t>
      </w:r>
      <w:hyperlink r:id="rId6" w:tgtFrame="_blank" w:history="1">
        <w:r>
          <w:rPr>
            <w:rStyle w:val="Hipervnculo"/>
            <w:rFonts w:ascii="Arial" w:eastAsiaTheme="majorEastAsia" w:hAnsi="Arial" w:cs="Arial"/>
            <w:color w:val="FC6B01"/>
            <w:sz w:val="26"/>
            <w:szCs w:val="26"/>
          </w:rPr>
          <w:t>El Salto</w:t>
        </w:r>
      </w:hyperlink>
      <w:r>
        <w:rPr>
          <w:rFonts w:ascii="Arial" w:hAnsi="Arial" w:cs="Arial"/>
          <w:color w:val="333333"/>
          <w:sz w:val="26"/>
          <w:szCs w:val="26"/>
        </w:rPr>
        <w:t> , 12-05-2024.</w:t>
      </w:r>
    </w:p>
    <w:p w14:paraId="4A73470E" w14:textId="77777777" w:rsidR="000D5D1F" w:rsidRDefault="000D5D1F" w:rsidP="000D5D1F">
      <w:pPr>
        <w:pStyle w:val="NormalWeb"/>
        <w:spacing w:before="0" w:beforeAutospacing="0" w:after="0" w:afterAutospacing="0"/>
        <w:jc w:val="both"/>
        <w:rPr>
          <w:rFonts w:ascii="Arial" w:hAnsi="Arial" w:cs="Arial"/>
          <w:color w:val="333333"/>
          <w:sz w:val="26"/>
          <w:szCs w:val="26"/>
        </w:rPr>
      </w:pPr>
    </w:p>
    <w:p w14:paraId="57A1EB60" w14:textId="77777777" w:rsidR="000D5D1F" w:rsidRDefault="000D5D1F" w:rsidP="000D5D1F">
      <w:pPr>
        <w:pStyle w:val="NormalWeb"/>
        <w:spacing w:before="0" w:beforeAutospacing="0" w:after="0" w:afterAutospacing="0"/>
        <w:jc w:val="both"/>
        <w:rPr>
          <w:rFonts w:ascii="Arial" w:hAnsi="Arial" w:cs="Arial"/>
          <w:color w:val="333333"/>
          <w:sz w:val="26"/>
          <w:szCs w:val="26"/>
        </w:rPr>
      </w:pPr>
      <w:r>
        <w:rPr>
          <w:rStyle w:val="Textoennegrita"/>
          <w:rFonts w:ascii="Arial" w:eastAsiaTheme="majorEastAsia" w:hAnsi="Arial" w:cs="Arial"/>
          <w:color w:val="333333"/>
          <w:sz w:val="26"/>
          <w:szCs w:val="26"/>
        </w:rPr>
        <w:t>Israel</w:t>
      </w:r>
      <w:r>
        <w:rPr>
          <w:rFonts w:ascii="Arial" w:hAnsi="Arial" w:cs="Arial"/>
          <w:color w:val="333333"/>
          <w:sz w:val="26"/>
          <w:szCs w:val="26"/>
        </w:rPr>
        <w:t> ha cometido y continúa cometiendo </w:t>
      </w:r>
      <w:r>
        <w:rPr>
          <w:rStyle w:val="Textoennegrita"/>
          <w:rFonts w:ascii="Arial" w:eastAsiaTheme="majorEastAsia" w:hAnsi="Arial" w:cs="Arial"/>
          <w:color w:val="333333"/>
          <w:sz w:val="26"/>
          <w:szCs w:val="26"/>
        </w:rPr>
        <w:t>genocidio</w:t>
      </w:r>
      <w:r>
        <w:rPr>
          <w:rFonts w:ascii="Arial" w:hAnsi="Arial" w:cs="Arial"/>
          <w:color w:val="333333"/>
          <w:sz w:val="26"/>
          <w:szCs w:val="26"/>
        </w:rPr>
        <w:t> contra la población palestina de la </w:t>
      </w:r>
      <w:hyperlink r:id="rId7" w:tgtFrame="_blank" w:history="1">
        <w:r>
          <w:rPr>
            <w:rStyle w:val="Hipervnculo"/>
            <w:rFonts w:ascii="Arial" w:eastAsiaTheme="majorEastAsia" w:hAnsi="Arial" w:cs="Arial"/>
            <w:color w:val="FC6B01"/>
            <w:sz w:val="26"/>
            <w:szCs w:val="26"/>
          </w:rPr>
          <w:t>Franja de Gaza</w:t>
        </w:r>
      </w:hyperlink>
      <w:r>
        <w:rPr>
          <w:rFonts w:ascii="Arial" w:hAnsi="Arial" w:cs="Arial"/>
          <w:color w:val="333333"/>
          <w:sz w:val="26"/>
          <w:szCs w:val="26"/>
        </w:rPr>
        <w:t> ocupada , según el informe "Es como si fuéramos seres infrahumanos: </w:t>
      </w:r>
      <w:hyperlink r:id="rId8" w:tgtFrame="_blank" w:history="1">
        <w:r>
          <w:rPr>
            <w:rStyle w:val="Hipervnculo"/>
            <w:rFonts w:ascii="Arial" w:eastAsiaTheme="majorEastAsia" w:hAnsi="Arial" w:cs="Arial"/>
            <w:color w:val="FC6B01"/>
            <w:sz w:val="26"/>
            <w:szCs w:val="26"/>
          </w:rPr>
          <w:t>el genocidio de Israel</w:t>
        </w:r>
      </w:hyperlink>
      <w:r>
        <w:rPr>
          <w:rFonts w:ascii="Arial" w:hAnsi="Arial" w:cs="Arial"/>
          <w:color w:val="333333"/>
          <w:sz w:val="26"/>
          <w:szCs w:val="26"/>
        </w:rPr>
        <w:t> contra la población palestina de </w:t>
      </w:r>
      <w:r>
        <w:rPr>
          <w:rStyle w:val="Textoennegrita"/>
          <w:rFonts w:ascii="Arial" w:eastAsiaTheme="majorEastAsia" w:hAnsi="Arial" w:cs="Arial"/>
          <w:color w:val="333333"/>
          <w:sz w:val="26"/>
          <w:szCs w:val="26"/>
        </w:rPr>
        <w:t>Gaza</w:t>
      </w:r>
      <w:r>
        <w:rPr>
          <w:rFonts w:ascii="Arial" w:hAnsi="Arial" w:cs="Arial"/>
          <w:color w:val="333333"/>
          <w:sz w:val="26"/>
          <w:szCs w:val="26"/>
        </w:rPr>
        <w:t> ", publicado hoy, 5 de diciembre de 2024, por </w:t>
      </w:r>
      <w:r>
        <w:rPr>
          <w:rStyle w:val="Textoennegrita"/>
          <w:rFonts w:ascii="Arial" w:eastAsiaTheme="majorEastAsia" w:hAnsi="Arial" w:cs="Arial"/>
          <w:color w:val="333333"/>
          <w:sz w:val="26"/>
          <w:szCs w:val="26"/>
        </w:rPr>
        <w:t>Amnistía Internacional</w:t>
      </w:r>
      <w:r>
        <w:rPr>
          <w:rFonts w:ascii="Arial" w:hAnsi="Arial" w:cs="Arial"/>
          <w:color w:val="333333"/>
          <w:sz w:val="26"/>
          <w:szCs w:val="26"/>
        </w:rPr>
        <w:t> . El documento relata cómo, durante la ofensiva militar lanzada tras los </w:t>
      </w:r>
      <w:hyperlink r:id="rId9" w:tgtFrame="_blank" w:history="1">
        <w:r>
          <w:rPr>
            <w:rStyle w:val="Hipervnculo"/>
            <w:rFonts w:ascii="Arial" w:eastAsiaTheme="majorEastAsia" w:hAnsi="Arial" w:cs="Arial"/>
            <w:color w:val="FC6B01"/>
            <w:sz w:val="26"/>
            <w:szCs w:val="26"/>
          </w:rPr>
          <w:t>ataques de Hamás en el sur de Israel el 7 de octubre de 2023</w:t>
        </w:r>
      </w:hyperlink>
      <w:r>
        <w:rPr>
          <w:rFonts w:ascii="Arial" w:hAnsi="Arial" w:cs="Arial"/>
          <w:color w:val="333333"/>
          <w:sz w:val="26"/>
          <w:szCs w:val="26"/>
        </w:rPr>
        <w:t> , </w:t>
      </w:r>
      <w:r>
        <w:rPr>
          <w:rStyle w:val="Textoennegrita"/>
          <w:rFonts w:ascii="Arial" w:eastAsiaTheme="majorEastAsia" w:hAnsi="Arial" w:cs="Arial"/>
          <w:color w:val="333333"/>
          <w:sz w:val="26"/>
          <w:szCs w:val="26"/>
        </w:rPr>
        <w:t>Israel</w:t>
      </w:r>
      <w:r>
        <w:rPr>
          <w:rFonts w:ascii="Arial" w:hAnsi="Arial" w:cs="Arial"/>
          <w:color w:val="333333"/>
          <w:sz w:val="26"/>
          <w:szCs w:val="26"/>
        </w:rPr>
        <w:t> sometió a la población palestina de </w:t>
      </w:r>
      <w:r>
        <w:rPr>
          <w:rStyle w:val="Textoennegrita"/>
          <w:rFonts w:ascii="Arial" w:eastAsiaTheme="majorEastAsia" w:hAnsi="Arial" w:cs="Arial"/>
          <w:color w:val="333333"/>
          <w:sz w:val="26"/>
          <w:szCs w:val="26"/>
        </w:rPr>
        <w:t>Gaza</w:t>
      </w:r>
      <w:r>
        <w:rPr>
          <w:rFonts w:ascii="Arial" w:hAnsi="Arial" w:cs="Arial"/>
          <w:color w:val="333333"/>
          <w:sz w:val="26"/>
          <w:szCs w:val="26"/>
        </w:rPr>
        <w:t> a un "infierno de destrucción sin vergüenza alguna, de forma continua y con absoluta impunidad".</w:t>
      </w:r>
    </w:p>
    <w:p w14:paraId="3160D44C" w14:textId="77777777" w:rsidR="000D5D1F" w:rsidRDefault="000D5D1F" w:rsidP="000D5D1F">
      <w:pPr>
        <w:pStyle w:val="NormalWeb"/>
        <w:spacing w:before="0" w:beforeAutospacing="0" w:after="0" w:afterAutospacing="0"/>
        <w:jc w:val="both"/>
        <w:rPr>
          <w:rFonts w:ascii="Arial" w:hAnsi="Arial" w:cs="Arial"/>
          <w:color w:val="333333"/>
          <w:sz w:val="26"/>
          <w:szCs w:val="26"/>
        </w:rPr>
      </w:pPr>
    </w:p>
    <w:p w14:paraId="79CFA022" w14:textId="77777777" w:rsidR="000D5D1F" w:rsidRDefault="000D5D1F" w:rsidP="000D5D1F">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 El informe de </w:t>
      </w:r>
      <w:r>
        <w:rPr>
          <w:rStyle w:val="Textoennegrita"/>
          <w:rFonts w:ascii="Arial" w:eastAsiaTheme="majorEastAsia" w:hAnsi="Arial" w:cs="Arial"/>
          <w:color w:val="333333"/>
          <w:sz w:val="26"/>
          <w:szCs w:val="26"/>
        </w:rPr>
        <w:t>Amnistía Internacional</w:t>
      </w:r>
      <w:r>
        <w:rPr>
          <w:rFonts w:ascii="Arial" w:hAnsi="Arial" w:cs="Arial"/>
          <w:color w:val="333333"/>
          <w:sz w:val="26"/>
          <w:szCs w:val="26"/>
        </w:rPr>
        <w:t> demuestra que </w:t>
      </w:r>
      <w:r>
        <w:rPr>
          <w:rStyle w:val="Textoennegrita"/>
          <w:rFonts w:ascii="Arial" w:eastAsiaTheme="majorEastAsia" w:hAnsi="Arial" w:cs="Arial"/>
          <w:color w:val="333333"/>
          <w:sz w:val="26"/>
          <w:szCs w:val="26"/>
        </w:rPr>
        <w:t>Israel</w:t>
      </w:r>
      <w:r>
        <w:rPr>
          <w:rFonts w:ascii="Arial" w:hAnsi="Arial" w:cs="Arial"/>
          <w:color w:val="333333"/>
          <w:sz w:val="26"/>
          <w:szCs w:val="26"/>
        </w:rPr>
        <w:t> llevó a cabo actos prohibidos por la </w:t>
      </w:r>
      <w:r>
        <w:rPr>
          <w:rStyle w:val="Textoennegrita"/>
          <w:rFonts w:ascii="Arial" w:eastAsiaTheme="majorEastAsia" w:hAnsi="Arial" w:cs="Arial"/>
          <w:color w:val="333333"/>
          <w:sz w:val="26"/>
          <w:szCs w:val="26"/>
        </w:rPr>
        <w:t>Convención sobre el Genocidio</w:t>
      </w:r>
      <w:r>
        <w:rPr>
          <w:rFonts w:ascii="Arial" w:hAnsi="Arial" w:cs="Arial"/>
          <w:color w:val="333333"/>
          <w:sz w:val="26"/>
          <w:szCs w:val="26"/>
        </w:rPr>
        <w:t> , con la intención específica de destruir a la población palestina de Gaza. Estos actos incluyen: asesinato de miembros de la población palestina de Gaza, daños graves a su integridad física o mental y su subyugación intencionada a condiciones de vida que conducirían a su destrucción física. Mes tras mes, Israel ha tratado a la población palestina de </w:t>
      </w:r>
      <w:r>
        <w:rPr>
          <w:rStyle w:val="Textoennegrita"/>
          <w:rFonts w:ascii="Arial" w:eastAsiaTheme="majorEastAsia" w:hAnsi="Arial" w:cs="Arial"/>
          <w:color w:val="333333"/>
          <w:sz w:val="26"/>
          <w:szCs w:val="26"/>
        </w:rPr>
        <w:t>Gaza</w:t>
      </w:r>
      <w:r>
        <w:rPr>
          <w:rFonts w:ascii="Arial" w:hAnsi="Arial" w:cs="Arial"/>
          <w:color w:val="333333"/>
          <w:sz w:val="26"/>
          <w:szCs w:val="26"/>
        </w:rPr>
        <w:t> como un grupo infrahumano, sin derechos humanos ni dignidad, demostrando su intención de provocar su destrucción. física", explicó </w:t>
      </w:r>
      <w:proofErr w:type="spellStart"/>
      <w:r>
        <w:rPr>
          <w:rStyle w:val="Textoennegrita"/>
          <w:rFonts w:ascii="Arial" w:eastAsiaTheme="majorEastAsia" w:hAnsi="Arial" w:cs="Arial"/>
          <w:color w:val="333333"/>
          <w:sz w:val="26"/>
          <w:szCs w:val="26"/>
        </w:rPr>
        <w:t>Agnès</w:t>
      </w:r>
      <w:proofErr w:type="spellEnd"/>
      <w:r>
        <w:rPr>
          <w:rStyle w:val="Textoennegrita"/>
          <w:rFonts w:ascii="Arial" w:eastAsiaTheme="majorEastAsia" w:hAnsi="Arial" w:cs="Arial"/>
          <w:color w:val="333333"/>
          <w:sz w:val="26"/>
          <w:szCs w:val="26"/>
        </w:rPr>
        <w:t xml:space="preserve"> </w:t>
      </w:r>
      <w:proofErr w:type="spellStart"/>
      <w:r>
        <w:rPr>
          <w:rStyle w:val="Textoennegrita"/>
          <w:rFonts w:ascii="Arial" w:eastAsiaTheme="majorEastAsia" w:hAnsi="Arial" w:cs="Arial"/>
          <w:color w:val="333333"/>
          <w:sz w:val="26"/>
          <w:szCs w:val="26"/>
        </w:rPr>
        <w:t>Callamard</w:t>
      </w:r>
      <w:proofErr w:type="spellEnd"/>
      <w:r>
        <w:rPr>
          <w:rFonts w:ascii="Arial" w:hAnsi="Arial" w:cs="Arial"/>
          <w:color w:val="333333"/>
          <w:sz w:val="26"/>
          <w:szCs w:val="26"/>
        </w:rPr>
        <w:t> , secretaria general de </w:t>
      </w:r>
      <w:r>
        <w:rPr>
          <w:rStyle w:val="Textoennegrita"/>
          <w:rFonts w:ascii="Arial" w:eastAsiaTheme="majorEastAsia" w:hAnsi="Arial" w:cs="Arial"/>
          <w:color w:val="333333"/>
          <w:sz w:val="26"/>
          <w:szCs w:val="26"/>
        </w:rPr>
        <w:t>Amnistía Internacional</w:t>
      </w:r>
      <w:r>
        <w:rPr>
          <w:rFonts w:ascii="Arial" w:hAnsi="Arial" w:cs="Arial"/>
          <w:color w:val="333333"/>
          <w:sz w:val="26"/>
          <w:szCs w:val="26"/>
        </w:rPr>
        <w:t> . </w:t>
      </w:r>
      <w:proofErr w:type="spellStart"/>
      <w:r>
        <w:rPr>
          <w:rStyle w:val="Textoennegrita"/>
          <w:rFonts w:ascii="Arial" w:eastAsiaTheme="majorEastAsia" w:hAnsi="Arial" w:cs="Arial"/>
          <w:color w:val="333333"/>
          <w:sz w:val="26"/>
          <w:szCs w:val="26"/>
        </w:rPr>
        <w:t>Callamard</w:t>
      </w:r>
      <w:proofErr w:type="spellEnd"/>
      <w:r>
        <w:rPr>
          <w:rFonts w:ascii="Arial" w:hAnsi="Arial" w:cs="Arial"/>
          <w:color w:val="333333"/>
          <w:sz w:val="26"/>
          <w:szCs w:val="26"/>
        </w:rPr>
        <w:t> advierte que las conclusiones del estudio deberían servir como "un llamado a la comunidad internacional: lo que está sucediendo es un genocidio. Debemos ponerle fin inmediatamente".</w:t>
      </w:r>
    </w:p>
    <w:p w14:paraId="756B79A6" w14:textId="77777777" w:rsidR="000D5D1F" w:rsidRDefault="000D5D1F" w:rsidP="000D5D1F">
      <w:pPr>
        <w:pStyle w:val="NormalWeb"/>
        <w:spacing w:before="0" w:beforeAutospacing="0" w:after="0" w:afterAutospacing="0"/>
        <w:jc w:val="both"/>
        <w:rPr>
          <w:rFonts w:ascii="Arial" w:hAnsi="Arial" w:cs="Arial"/>
          <w:color w:val="333333"/>
          <w:sz w:val="26"/>
          <w:szCs w:val="26"/>
        </w:rPr>
      </w:pPr>
    </w:p>
    <w:p w14:paraId="2D3F2586" w14:textId="77777777" w:rsidR="000D5D1F" w:rsidRDefault="000D5D1F" w:rsidP="000D5D1F">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En su investigación, </w:t>
      </w:r>
      <w:r>
        <w:rPr>
          <w:rStyle w:val="Textoennegrita"/>
          <w:rFonts w:ascii="Arial" w:eastAsiaTheme="majorEastAsia" w:hAnsi="Arial" w:cs="Arial"/>
          <w:color w:val="333333"/>
          <w:sz w:val="26"/>
          <w:szCs w:val="26"/>
        </w:rPr>
        <w:t>Amnistía Internacional</w:t>
      </w:r>
      <w:r>
        <w:rPr>
          <w:rFonts w:ascii="Arial" w:hAnsi="Arial" w:cs="Arial"/>
          <w:color w:val="333333"/>
          <w:sz w:val="26"/>
          <w:szCs w:val="26"/>
        </w:rPr>
        <w:t> analizó en detalle las violaciones del derecho internacional humanitario y de los derechos humanos cometidas por </w:t>
      </w:r>
      <w:r>
        <w:rPr>
          <w:rStyle w:val="Textoennegrita"/>
          <w:rFonts w:ascii="Arial" w:eastAsiaTheme="majorEastAsia" w:hAnsi="Arial" w:cs="Arial"/>
          <w:color w:val="333333"/>
          <w:sz w:val="26"/>
          <w:szCs w:val="26"/>
        </w:rPr>
        <w:t>Israel</w:t>
      </w:r>
      <w:r>
        <w:rPr>
          <w:rFonts w:ascii="Arial" w:hAnsi="Arial" w:cs="Arial"/>
          <w:color w:val="333333"/>
          <w:sz w:val="26"/>
          <w:szCs w:val="26"/>
        </w:rPr>
        <w:t> en </w:t>
      </w:r>
      <w:r>
        <w:rPr>
          <w:rStyle w:val="Textoennegrita"/>
          <w:rFonts w:ascii="Arial" w:eastAsiaTheme="majorEastAsia" w:hAnsi="Arial" w:cs="Arial"/>
          <w:color w:val="333333"/>
          <w:sz w:val="26"/>
          <w:szCs w:val="26"/>
        </w:rPr>
        <w:t>Gaza</w:t>
      </w:r>
      <w:r>
        <w:rPr>
          <w:rFonts w:ascii="Arial" w:hAnsi="Arial" w:cs="Arial"/>
          <w:color w:val="333333"/>
          <w:sz w:val="26"/>
          <w:szCs w:val="26"/>
        </w:rPr>
        <w:t xml:space="preserve"> durante los más de nueve meses </w:t>
      </w:r>
      <w:r>
        <w:rPr>
          <w:rFonts w:ascii="Arial" w:hAnsi="Arial" w:cs="Arial"/>
          <w:color w:val="333333"/>
          <w:sz w:val="26"/>
          <w:szCs w:val="26"/>
        </w:rPr>
        <w:lastRenderedPageBreak/>
        <w:t>comprendidos entre </w:t>
      </w:r>
      <w:hyperlink r:id="rId10" w:tgtFrame="_blank" w:history="1">
        <w:r>
          <w:rPr>
            <w:rStyle w:val="Hipervnculo"/>
            <w:rFonts w:ascii="Arial" w:eastAsiaTheme="majorEastAsia" w:hAnsi="Arial" w:cs="Arial"/>
            <w:color w:val="FC6B01"/>
            <w:sz w:val="26"/>
            <w:szCs w:val="26"/>
          </w:rPr>
          <w:t>el 7 de octubre de 2023</w:t>
        </w:r>
      </w:hyperlink>
      <w:r>
        <w:rPr>
          <w:rFonts w:ascii="Arial" w:hAnsi="Arial" w:cs="Arial"/>
          <w:color w:val="333333"/>
          <w:sz w:val="26"/>
          <w:szCs w:val="26"/>
        </w:rPr>
        <w:t> y principios de julio de 2024. La organización entrevistó a 212 personas, incluidas víctimas palestinas. y testigos, autoridades locales de </w:t>
      </w:r>
      <w:r>
        <w:rPr>
          <w:rStyle w:val="Textoennegrita"/>
          <w:rFonts w:ascii="Arial" w:eastAsiaTheme="majorEastAsia" w:hAnsi="Arial" w:cs="Arial"/>
          <w:color w:val="333333"/>
          <w:sz w:val="26"/>
          <w:szCs w:val="26"/>
        </w:rPr>
        <w:t>Gaza</w:t>
      </w:r>
      <w:r>
        <w:rPr>
          <w:rFonts w:ascii="Arial" w:hAnsi="Arial" w:cs="Arial"/>
          <w:color w:val="333333"/>
          <w:sz w:val="26"/>
          <w:szCs w:val="26"/>
        </w:rPr>
        <w:t> y profesionales de la salud; realizó trabajo de campo y analizó una amplia gama de datos visuales y digitales, incluidas imágenes de satélite. También examinó declaraciones de altos funcionarios gubernamentales y militares, así como de organismos oficiales israelíes. En varias ocasiones, Amnistía Internacional ha compartido sus conclusiones con las autoridades israelíes, pero en el momento de la publicación del informe no había recibido ninguna respuesta sustancial.</w:t>
      </w:r>
    </w:p>
    <w:p w14:paraId="68FC00D6" w14:textId="77777777" w:rsidR="000D5D1F" w:rsidRDefault="000D5D1F" w:rsidP="000D5D1F">
      <w:pPr>
        <w:pStyle w:val="NormalWeb"/>
        <w:spacing w:before="0" w:beforeAutospacing="0" w:after="0" w:afterAutospacing="0"/>
        <w:jc w:val="both"/>
        <w:rPr>
          <w:rFonts w:ascii="Arial" w:hAnsi="Arial" w:cs="Arial"/>
          <w:color w:val="333333"/>
          <w:sz w:val="26"/>
          <w:szCs w:val="26"/>
        </w:rPr>
      </w:pPr>
    </w:p>
    <w:p w14:paraId="6A8F522E" w14:textId="77777777" w:rsidR="000D5D1F" w:rsidRDefault="000D5D1F" w:rsidP="000D5D1F">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Muchos de los actos ilícitos documentados por </w:t>
      </w:r>
      <w:r>
        <w:rPr>
          <w:rStyle w:val="Textoennegrita"/>
          <w:rFonts w:ascii="Arial" w:eastAsiaTheme="majorEastAsia" w:hAnsi="Arial" w:cs="Arial"/>
          <w:color w:val="333333"/>
          <w:sz w:val="26"/>
          <w:szCs w:val="26"/>
        </w:rPr>
        <w:t>Amnistía Internacional</w:t>
      </w:r>
      <w:r>
        <w:rPr>
          <w:rFonts w:ascii="Arial" w:hAnsi="Arial" w:cs="Arial"/>
          <w:color w:val="333333"/>
          <w:sz w:val="26"/>
          <w:szCs w:val="26"/>
        </w:rPr>
        <w:t> fueron precedidos por declaraciones de autoridades que alentaron estas prácticas. La organización examinó 102 declaraciones realizadas por miembros del gobierno israelí, comandos militares y otras entidades entre </w:t>
      </w:r>
      <w:r>
        <w:rPr>
          <w:rStyle w:val="Textoennegrita"/>
          <w:rFonts w:ascii="Arial" w:eastAsiaTheme="majorEastAsia" w:hAnsi="Arial" w:cs="Arial"/>
          <w:color w:val="333333"/>
          <w:sz w:val="26"/>
          <w:szCs w:val="26"/>
        </w:rPr>
        <w:t>el 7 de octubre de 2023</w:t>
      </w:r>
      <w:r>
        <w:rPr>
          <w:rFonts w:ascii="Arial" w:hAnsi="Arial" w:cs="Arial"/>
          <w:color w:val="333333"/>
          <w:sz w:val="26"/>
          <w:szCs w:val="26"/>
        </w:rPr>
        <w:t> y el 30 de junio de 2024, en las que se deshumanizó a la población palestina, se incitaron o justificaron actos genocidas u otros crímenes contra ella.</w:t>
      </w:r>
    </w:p>
    <w:p w14:paraId="1FFE9B9F" w14:textId="77777777" w:rsidR="000D5D1F" w:rsidRDefault="000D5D1F" w:rsidP="000D5D1F">
      <w:pPr>
        <w:pStyle w:val="NormalWeb"/>
        <w:spacing w:before="0" w:beforeAutospacing="0" w:after="0" w:afterAutospacing="0"/>
        <w:jc w:val="both"/>
        <w:rPr>
          <w:rFonts w:ascii="Arial" w:hAnsi="Arial" w:cs="Arial"/>
          <w:color w:val="333333"/>
          <w:sz w:val="26"/>
          <w:szCs w:val="26"/>
        </w:rPr>
      </w:pPr>
    </w:p>
    <w:p w14:paraId="17509A03" w14:textId="77777777" w:rsidR="000D5D1F" w:rsidRDefault="000D5D1F" w:rsidP="000D5D1F">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“Nuestra investigación revela que, durante meses, </w:t>
      </w:r>
      <w:r>
        <w:rPr>
          <w:rStyle w:val="Textoennegrita"/>
          <w:rFonts w:ascii="Arial" w:eastAsiaTheme="majorEastAsia" w:hAnsi="Arial" w:cs="Arial"/>
          <w:color w:val="333333"/>
          <w:sz w:val="26"/>
          <w:szCs w:val="26"/>
        </w:rPr>
        <w:t>Israel</w:t>
      </w:r>
      <w:r>
        <w:rPr>
          <w:rFonts w:ascii="Arial" w:hAnsi="Arial" w:cs="Arial"/>
          <w:color w:val="333333"/>
          <w:sz w:val="26"/>
          <w:szCs w:val="26"/>
        </w:rPr>
        <w:t> continuó cometiendo actos genocidas, plenamente consciente del daño irreparable que estaba causando a la población palestina de </w:t>
      </w:r>
      <w:r>
        <w:rPr>
          <w:rStyle w:val="Textoennegrita"/>
          <w:rFonts w:ascii="Arial" w:eastAsiaTheme="majorEastAsia" w:hAnsi="Arial" w:cs="Arial"/>
          <w:color w:val="333333"/>
          <w:sz w:val="26"/>
          <w:szCs w:val="26"/>
        </w:rPr>
        <w:t>Gaza</w:t>
      </w:r>
      <w:r>
        <w:rPr>
          <w:rFonts w:ascii="Arial" w:hAnsi="Arial" w:cs="Arial"/>
          <w:color w:val="333333"/>
          <w:sz w:val="26"/>
          <w:szCs w:val="26"/>
        </w:rPr>
        <w:t> . Lo hizo desafiando numerosas advertencias sobre la catastrófica situación humanitaria e ignorando sentencias jurídicamente vinculantes de la </w:t>
      </w:r>
      <w:hyperlink r:id="rId11" w:tgtFrame="_blank" w:history="1">
        <w:r>
          <w:rPr>
            <w:rStyle w:val="Hipervnculo"/>
            <w:rFonts w:ascii="Arial" w:eastAsiaTheme="majorEastAsia" w:hAnsi="Arial" w:cs="Arial"/>
            <w:color w:val="FC6B01"/>
            <w:sz w:val="26"/>
            <w:szCs w:val="26"/>
          </w:rPr>
          <w:t>Corte Internacional de Justicia</w:t>
        </w:r>
      </w:hyperlink>
      <w:r>
        <w:rPr>
          <w:rFonts w:ascii="Arial" w:hAnsi="Arial" w:cs="Arial"/>
          <w:color w:val="333333"/>
          <w:sz w:val="26"/>
          <w:szCs w:val="26"/>
        </w:rPr>
        <w:t> , que ordenó a Israel tomar medidas inmediatas para permitir la prestación de asistencia humanitaria a la población civil de Gaza”, añadió </w:t>
      </w:r>
      <w:proofErr w:type="spellStart"/>
      <w:r>
        <w:rPr>
          <w:rStyle w:val="Textoennegrita"/>
          <w:rFonts w:ascii="Arial" w:eastAsiaTheme="majorEastAsia" w:hAnsi="Arial" w:cs="Arial"/>
          <w:color w:val="333333"/>
          <w:sz w:val="26"/>
          <w:szCs w:val="26"/>
        </w:rPr>
        <w:t>Agnès</w:t>
      </w:r>
      <w:proofErr w:type="spellEnd"/>
      <w:r>
        <w:rPr>
          <w:rStyle w:val="Textoennegrita"/>
          <w:rFonts w:ascii="Arial" w:eastAsiaTheme="majorEastAsia" w:hAnsi="Arial" w:cs="Arial"/>
          <w:color w:val="333333"/>
          <w:sz w:val="26"/>
          <w:szCs w:val="26"/>
        </w:rPr>
        <w:t xml:space="preserve"> </w:t>
      </w:r>
      <w:proofErr w:type="spellStart"/>
      <w:r>
        <w:rPr>
          <w:rStyle w:val="Textoennegrita"/>
          <w:rFonts w:ascii="Arial" w:eastAsiaTheme="majorEastAsia" w:hAnsi="Arial" w:cs="Arial"/>
          <w:color w:val="333333"/>
          <w:sz w:val="26"/>
          <w:szCs w:val="26"/>
        </w:rPr>
        <w:t>Callamard</w:t>
      </w:r>
      <w:proofErr w:type="spellEnd"/>
      <w:r>
        <w:rPr>
          <w:rStyle w:val="Textoennegrita"/>
          <w:rFonts w:ascii="Arial" w:eastAsiaTheme="majorEastAsia" w:hAnsi="Arial" w:cs="Arial"/>
          <w:color w:val="333333"/>
          <w:sz w:val="26"/>
          <w:szCs w:val="26"/>
        </w:rPr>
        <w:t>.</w:t>
      </w:r>
      <w:r>
        <w:rPr>
          <w:rFonts w:ascii="Arial" w:hAnsi="Arial" w:cs="Arial"/>
          <w:color w:val="333333"/>
          <w:sz w:val="26"/>
          <w:szCs w:val="26"/>
        </w:rPr>
        <w:t> , quien también destacó la responsabilidad de otros países.</w:t>
      </w:r>
    </w:p>
    <w:p w14:paraId="21CF7BE9" w14:textId="77777777" w:rsidR="000D5D1F" w:rsidRDefault="000D5D1F" w:rsidP="000D5D1F">
      <w:pPr>
        <w:pStyle w:val="NormalWeb"/>
        <w:spacing w:before="0" w:beforeAutospacing="0" w:after="0" w:afterAutospacing="0"/>
        <w:jc w:val="both"/>
        <w:rPr>
          <w:rFonts w:ascii="Arial" w:hAnsi="Arial" w:cs="Arial"/>
          <w:color w:val="333333"/>
          <w:sz w:val="26"/>
          <w:szCs w:val="26"/>
        </w:rPr>
      </w:pPr>
    </w:p>
    <w:p w14:paraId="0A311CC4" w14:textId="77777777" w:rsidR="000D5D1F" w:rsidRDefault="000D5D1F" w:rsidP="000D5D1F">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“Los Estados que continúan transfiriendo armas a </w:t>
      </w:r>
      <w:r>
        <w:rPr>
          <w:rStyle w:val="Textoennegrita"/>
          <w:rFonts w:ascii="Arial" w:eastAsiaTheme="majorEastAsia" w:hAnsi="Arial" w:cs="Arial"/>
          <w:color w:val="333333"/>
          <w:sz w:val="26"/>
          <w:szCs w:val="26"/>
        </w:rPr>
        <w:t>Israel</w:t>
      </w:r>
      <w:r>
        <w:rPr>
          <w:rFonts w:ascii="Arial" w:hAnsi="Arial" w:cs="Arial"/>
          <w:color w:val="333333"/>
          <w:sz w:val="26"/>
          <w:szCs w:val="26"/>
        </w:rPr>
        <w:t> en este momento deben saber que no están cumpliendo con su obligación de prevenir el genocidio y corren el riesgo de ser cómplices de él. Todos los países con influencia sobre Israel, especialmente aquellos que suministran armas, como </w:t>
      </w:r>
      <w:r>
        <w:rPr>
          <w:rStyle w:val="Textoennegrita"/>
          <w:rFonts w:ascii="Arial" w:eastAsiaTheme="majorEastAsia" w:hAnsi="Arial" w:cs="Arial"/>
          <w:color w:val="333333"/>
          <w:sz w:val="26"/>
          <w:szCs w:val="26"/>
        </w:rPr>
        <w:t>Estados Unidos</w:t>
      </w:r>
      <w:r>
        <w:rPr>
          <w:rFonts w:ascii="Arial" w:hAnsi="Arial" w:cs="Arial"/>
          <w:color w:val="333333"/>
          <w:sz w:val="26"/>
          <w:szCs w:val="26"/>
        </w:rPr>
        <w:t> y </w:t>
      </w:r>
      <w:r>
        <w:rPr>
          <w:rStyle w:val="Textoennegrita"/>
          <w:rFonts w:ascii="Arial" w:eastAsiaTheme="majorEastAsia" w:hAnsi="Arial" w:cs="Arial"/>
          <w:color w:val="333333"/>
          <w:sz w:val="26"/>
          <w:szCs w:val="26"/>
        </w:rPr>
        <w:t>Alemania</w:t>
      </w:r>
      <w:r>
        <w:rPr>
          <w:rFonts w:ascii="Arial" w:hAnsi="Arial" w:cs="Arial"/>
          <w:color w:val="333333"/>
          <w:sz w:val="26"/>
          <w:szCs w:val="26"/>
        </w:rPr>
        <w:t> , pero también otros miembros de la </w:t>
      </w:r>
      <w:r>
        <w:rPr>
          <w:rStyle w:val="Textoennegrita"/>
          <w:rFonts w:ascii="Arial" w:eastAsiaTheme="majorEastAsia" w:hAnsi="Arial" w:cs="Arial"/>
          <w:color w:val="333333"/>
          <w:sz w:val="26"/>
          <w:szCs w:val="26"/>
        </w:rPr>
        <w:t>Unión Europea</w:t>
      </w:r>
      <w:r>
        <w:rPr>
          <w:rFonts w:ascii="Arial" w:hAnsi="Arial" w:cs="Arial"/>
          <w:color w:val="333333"/>
          <w:sz w:val="26"/>
          <w:szCs w:val="26"/>
        </w:rPr>
        <w:t> , </w:t>
      </w:r>
      <w:r>
        <w:rPr>
          <w:rStyle w:val="Textoennegrita"/>
          <w:rFonts w:ascii="Arial" w:eastAsiaTheme="majorEastAsia" w:hAnsi="Arial" w:cs="Arial"/>
          <w:color w:val="333333"/>
          <w:sz w:val="26"/>
          <w:szCs w:val="26"/>
        </w:rPr>
        <w:t>el Reino Unido</w:t>
      </w:r>
      <w:r>
        <w:rPr>
          <w:rFonts w:ascii="Arial" w:hAnsi="Arial" w:cs="Arial"/>
          <w:color w:val="333333"/>
          <w:sz w:val="26"/>
          <w:szCs w:val="26"/>
        </w:rPr>
        <w:t> y otros, deben tomar medidas inmediatas para poner fin a las atrocidades de Israel contra los palestinos. población de Gaza”.</w:t>
      </w:r>
    </w:p>
    <w:p w14:paraId="0C32084F" w14:textId="77777777" w:rsidR="000D5D1F" w:rsidRDefault="000D5D1F" w:rsidP="000D5D1F">
      <w:pPr>
        <w:pStyle w:val="NormalWeb"/>
        <w:spacing w:before="0" w:beforeAutospacing="0" w:after="0" w:afterAutospacing="0"/>
        <w:jc w:val="both"/>
        <w:rPr>
          <w:rFonts w:ascii="Arial" w:hAnsi="Arial" w:cs="Arial"/>
          <w:color w:val="333333"/>
          <w:sz w:val="26"/>
          <w:szCs w:val="26"/>
        </w:rPr>
      </w:pPr>
    </w:p>
    <w:p w14:paraId="19293D1C" w14:textId="77777777" w:rsidR="000D5D1F" w:rsidRDefault="000D5D1F" w:rsidP="000D5D1F">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"Considerando el contexto preexistente de desposesión, </w:t>
      </w:r>
      <w:r>
        <w:rPr>
          <w:rStyle w:val="Textoennegrita"/>
          <w:rFonts w:ascii="Arial" w:eastAsiaTheme="majorEastAsia" w:hAnsi="Arial" w:cs="Arial"/>
          <w:color w:val="333333"/>
          <w:sz w:val="26"/>
          <w:szCs w:val="26"/>
        </w:rPr>
        <w:t>apartheid</w:t>
      </w:r>
      <w:r>
        <w:rPr>
          <w:rFonts w:ascii="Arial" w:hAnsi="Arial" w:cs="Arial"/>
          <w:color w:val="333333"/>
          <w:sz w:val="26"/>
          <w:szCs w:val="26"/>
        </w:rPr>
        <w:t> y ocupación militar ilegal en el que se cometieron tales actos, sólo podemos llegar a una conclusión razonable: la intención de </w:t>
      </w:r>
      <w:r>
        <w:rPr>
          <w:rStyle w:val="Textoennegrita"/>
          <w:rFonts w:ascii="Arial" w:eastAsiaTheme="majorEastAsia" w:hAnsi="Arial" w:cs="Arial"/>
          <w:color w:val="333333"/>
          <w:sz w:val="26"/>
          <w:szCs w:val="26"/>
        </w:rPr>
        <w:t>Israel</w:t>
      </w:r>
      <w:r>
        <w:rPr>
          <w:rFonts w:ascii="Arial" w:hAnsi="Arial" w:cs="Arial"/>
          <w:color w:val="333333"/>
          <w:sz w:val="26"/>
          <w:szCs w:val="26"/>
        </w:rPr>
        <w:t> es la destrucción física de la población palestina de </w:t>
      </w:r>
      <w:r>
        <w:rPr>
          <w:rStyle w:val="Textoennegrita"/>
          <w:rFonts w:ascii="Arial" w:eastAsiaTheme="majorEastAsia" w:hAnsi="Arial" w:cs="Arial"/>
          <w:color w:val="333333"/>
          <w:sz w:val="26"/>
          <w:szCs w:val="26"/>
        </w:rPr>
        <w:t>Gaza</w:t>
      </w:r>
      <w:r>
        <w:rPr>
          <w:rFonts w:ascii="Arial" w:hAnsi="Arial" w:cs="Arial"/>
          <w:color w:val="333333"/>
          <w:sz w:val="26"/>
          <w:szCs w:val="26"/>
        </w:rPr>
        <w:t> , ya sea en paralelo con la objetivo militar de </w:t>
      </w:r>
      <w:hyperlink r:id="rId12" w:tgtFrame="_blank" w:history="1">
        <w:r>
          <w:rPr>
            <w:rStyle w:val="Hipervnculo"/>
            <w:rFonts w:ascii="Arial" w:eastAsiaTheme="majorEastAsia" w:hAnsi="Arial" w:cs="Arial"/>
            <w:color w:val="FC6B01"/>
            <w:sz w:val="26"/>
            <w:szCs w:val="26"/>
          </w:rPr>
          <w:t>eliminar a Hamás</w:t>
        </w:r>
      </w:hyperlink>
      <w:r>
        <w:rPr>
          <w:rFonts w:ascii="Arial" w:hAnsi="Arial" w:cs="Arial"/>
          <w:color w:val="333333"/>
          <w:sz w:val="26"/>
          <w:szCs w:val="26"/>
        </w:rPr>
        <w:t> , ya sea como medio para lograrlo", concluyó el representante </w:t>
      </w:r>
      <w:r>
        <w:rPr>
          <w:rStyle w:val="Textoennegrita"/>
          <w:rFonts w:ascii="Arial" w:eastAsiaTheme="majorEastAsia" w:hAnsi="Arial" w:cs="Arial"/>
          <w:color w:val="333333"/>
          <w:sz w:val="26"/>
          <w:szCs w:val="26"/>
        </w:rPr>
        <w:t>de Amnistía Internacional</w:t>
      </w:r>
      <w:r>
        <w:rPr>
          <w:rFonts w:ascii="Arial" w:hAnsi="Arial" w:cs="Arial"/>
          <w:color w:val="333333"/>
          <w:sz w:val="26"/>
          <w:szCs w:val="26"/>
        </w:rPr>
        <w:t> .</w:t>
      </w:r>
    </w:p>
    <w:p w14:paraId="76848F1B" w14:textId="77777777" w:rsidR="00926044" w:rsidRDefault="00926044"/>
    <w:p w14:paraId="10A7712C" w14:textId="77777777" w:rsidR="000D5D1F" w:rsidRDefault="000D5D1F"/>
    <w:p w14:paraId="50696A0E" w14:textId="5315A220" w:rsidR="000D5D1F" w:rsidRDefault="000D5D1F">
      <w:hyperlink r:id="rId13" w:history="1">
        <w:r w:rsidRPr="005651E6">
          <w:rPr>
            <w:rStyle w:val="Hipervnculo"/>
          </w:rPr>
          <w:t>https://www.ihu.unisinos.br/646787-a-anistia-internacional-afirma-que-israel-cometeu-e-continua-cometendo-um-genocidio-em-gaza</w:t>
        </w:r>
      </w:hyperlink>
    </w:p>
    <w:p w14:paraId="48B52B9E" w14:textId="77777777" w:rsidR="000D5D1F" w:rsidRDefault="000D5D1F"/>
    <w:sectPr w:rsidR="000D5D1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D1F"/>
    <w:rsid w:val="000D5D1F"/>
    <w:rsid w:val="00926044"/>
    <w:rsid w:val="00DE17AC"/>
    <w:rsid w:val="00E2045F"/>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C5921"/>
  <w15:chartTrackingRefBased/>
  <w15:docId w15:val="{1C12CCE7-6C9A-4BEC-B198-C1F9501E8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D5D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D5D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D5D1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D5D1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D5D1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D5D1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D5D1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D5D1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D5D1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D5D1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D5D1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D5D1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D5D1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D5D1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D5D1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D5D1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D5D1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D5D1F"/>
    <w:rPr>
      <w:rFonts w:eastAsiaTheme="majorEastAsia" w:cstheme="majorBidi"/>
      <w:color w:val="272727" w:themeColor="text1" w:themeTint="D8"/>
    </w:rPr>
  </w:style>
  <w:style w:type="paragraph" w:styleId="Ttulo">
    <w:name w:val="Title"/>
    <w:basedOn w:val="Normal"/>
    <w:next w:val="Normal"/>
    <w:link w:val="TtuloCar"/>
    <w:uiPriority w:val="10"/>
    <w:qFormat/>
    <w:rsid w:val="000D5D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D5D1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D5D1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D5D1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D5D1F"/>
    <w:pPr>
      <w:spacing w:before="160"/>
      <w:jc w:val="center"/>
    </w:pPr>
    <w:rPr>
      <w:i/>
      <w:iCs/>
      <w:color w:val="404040" w:themeColor="text1" w:themeTint="BF"/>
    </w:rPr>
  </w:style>
  <w:style w:type="character" w:customStyle="1" w:styleId="CitaCar">
    <w:name w:val="Cita Car"/>
    <w:basedOn w:val="Fuentedeprrafopredeter"/>
    <w:link w:val="Cita"/>
    <w:uiPriority w:val="29"/>
    <w:rsid w:val="000D5D1F"/>
    <w:rPr>
      <w:i/>
      <w:iCs/>
      <w:color w:val="404040" w:themeColor="text1" w:themeTint="BF"/>
    </w:rPr>
  </w:style>
  <w:style w:type="paragraph" w:styleId="Prrafodelista">
    <w:name w:val="List Paragraph"/>
    <w:basedOn w:val="Normal"/>
    <w:uiPriority w:val="34"/>
    <w:qFormat/>
    <w:rsid w:val="000D5D1F"/>
    <w:pPr>
      <w:ind w:left="720"/>
      <w:contextualSpacing/>
    </w:pPr>
  </w:style>
  <w:style w:type="character" w:styleId="nfasisintenso">
    <w:name w:val="Intense Emphasis"/>
    <w:basedOn w:val="Fuentedeprrafopredeter"/>
    <w:uiPriority w:val="21"/>
    <w:qFormat/>
    <w:rsid w:val="000D5D1F"/>
    <w:rPr>
      <w:i/>
      <w:iCs/>
      <w:color w:val="0F4761" w:themeColor="accent1" w:themeShade="BF"/>
    </w:rPr>
  </w:style>
  <w:style w:type="paragraph" w:styleId="Citadestacada">
    <w:name w:val="Intense Quote"/>
    <w:basedOn w:val="Normal"/>
    <w:next w:val="Normal"/>
    <w:link w:val="CitadestacadaCar"/>
    <w:uiPriority w:val="30"/>
    <w:qFormat/>
    <w:rsid w:val="000D5D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D5D1F"/>
    <w:rPr>
      <w:i/>
      <w:iCs/>
      <w:color w:val="0F4761" w:themeColor="accent1" w:themeShade="BF"/>
    </w:rPr>
  </w:style>
  <w:style w:type="character" w:styleId="Referenciaintensa">
    <w:name w:val="Intense Reference"/>
    <w:basedOn w:val="Fuentedeprrafopredeter"/>
    <w:uiPriority w:val="32"/>
    <w:qFormat/>
    <w:rsid w:val="000D5D1F"/>
    <w:rPr>
      <w:b/>
      <w:bCs/>
      <w:smallCaps/>
      <w:color w:val="0F4761" w:themeColor="accent1" w:themeShade="BF"/>
      <w:spacing w:val="5"/>
    </w:rPr>
  </w:style>
  <w:style w:type="paragraph" w:styleId="NormalWeb">
    <w:name w:val="Normal (Web)"/>
    <w:basedOn w:val="Normal"/>
    <w:uiPriority w:val="99"/>
    <w:semiHidden/>
    <w:unhideWhenUsed/>
    <w:rsid w:val="000D5D1F"/>
    <w:pPr>
      <w:spacing w:before="100" w:beforeAutospacing="1" w:after="100" w:afterAutospacing="1" w:line="240" w:lineRule="auto"/>
    </w:pPr>
    <w:rPr>
      <w:rFonts w:ascii="Times New Roman" w:eastAsia="Times New Roman" w:hAnsi="Times New Roman" w:cs="Times New Roman"/>
      <w:kern w:val="0"/>
      <w:sz w:val="24"/>
      <w:szCs w:val="24"/>
      <w:lang w:eastAsia="es-UY"/>
      <w14:ligatures w14:val="none"/>
    </w:rPr>
  </w:style>
  <w:style w:type="character" w:styleId="Textoennegrita">
    <w:name w:val="Strong"/>
    <w:basedOn w:val="Fuentedeprrafopredeter"/>
    <w:uiPriority w:val="22"/>
    <w:qFormat/>
    <w:rsid w:val="000D5D1F"/>
    <w:rPr>
      <w:b/>
      <w:bCs/>
    </w:rPr>
  </w:style>
  <w:style w:type="character" w:styleId="Hipervnculo">
    <w:name w:val="Hyperlink"/>
    <w:basedOn w:val="Fuentedeprrafopredeter"/>
    <w:uiPriority w:val="99"/>
    <w:unhideWhenUsed/>
    <w:rsid w:val="000D5D1F"/>
    <w:rPr>
      <w:color w:val="0000FF"/>
      <w:u w:val="single"/>
    </w:rPr>
  </w:style>
  <w:style w:type="character" w:styleId="Mencinsinresolver">
    <w:name w:val="Unresolved Mention"/>
    <w:basedOn w:val="Fuentedeprrafopredeter"/>
    <w:uiPriority w:val="99"/>
    <w:semiHidden/>
    <w:unhideWhenUsed/>
    <w:rsid w:val="000D5D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73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categorias/637856-o-limiar-que-indica-a-pratica-do-genocidio-por-israel-foi-atingido" TargetMode="External"/><Relationship Id="rId13" Type="http://schemas.openxmlformats.org/officeDocument/2006/relationships/hyperlink" Target="https://www.ihu.unisinos.br/646787-a-anistia-internacional-afirma-que-israel-cometeu-e-continua-cometendo-um-genocidio-em-gaza" TargetMode="External"/><Relationship Id="rId3" Type="http://schemas.openxmlformats.org/officeDocument/2006/relationships/webSettings" Target="webSettings.xml"/><Relationship Id="rId7" Type="http://schemas.openxmlformats.org/officeDocument/2006/relationships/hyperlink" Target="https://www.ihu.unisinos.br/categorias/643779-faixa-de-gaza-israel-bloqueia-ajuda-humanitaria-segundo-organizacoes-internacionais" TargetMode="External"/><Relationship Id="rId12" Type="http://schemas.openxmlformats.org/officeDocument/2006/relationships/hyperlink" Target="https://www.ihu.unisinos.br/640606-o-exercito-israelense-ve-como-inviavel-acabar-com-o-hamas-e-aumenta-o-clima-de-tensao-com-netanyah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lsaltodiario.com/israel/amnistia-internacional-asegura-israel-ha-cometido-continua-cometiendo-un-genocidio-gaza" TargetMode="External"/><Relationship Id="rId11" Type="http://schemas.openxmlformats.org/officeDocument/2006/relationships/hyperlink" Target="https://www.ihu.unisinos.br/categorias/643825-onu-ordena-saida-de-tropas-israelenses-de-gaza-e-cisjordania" TargetMode="External"/><Relationship Id="rId5" Type="http://schemas.openxmlformats.org/officeDocument/2006/relationships/hyperlink" Target="https://www.ihu.unisinos.br/categorias/617331-anistia-internacional-denuncia-o-egoismo-dos-paises-ricos-e-a-ganancia-corporativa-na-gestao-da-pandemia" TargetMode="External"/><Relationship Id="rId15" Type="http://schemas.openxmlformats.org/officeDocument/2006/relationships/theme" Target="theme/theme1.xml"/><Relationship Id="rId10" Type="http://schemas.openxmlformats.org/officeDocument/2006/relationships/hyperlink" Target="https://www.ihu.unisinos.br/categorias/635660-7-de-outubro-de-2023-artigo-de-flavio-lazzarin" TargetMode="External"/><Relationship Id="rId4" Type="http://schemas.openxmlformats.org/officeDocument/2006/relationships/image" Target="media/image1.png"/><Relationship Id="rId9" Type="http://schemas.openxmlformats.org/officeDocument/2006/relationships/hyperlink" Target="https://www.ihu.unisinos.br/categorias/644461-um-ano-apos-o-ataque-do-hamas-a-ofensiva-de-israel-em-gaza-nao-ve-uma-tregua-a-vista"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918</Words>
  <Characters>5050</Characters>
  <Application>Microsoft Office Word</Application>
  <DocSecurity>0</DocSecurity>
  <Lines>42</Lines>
  <Paragraphs>11</Paragraphs>
  <ScaleCrop>false</ScaleCrop>
  <Company/>
  <LinksUpToDate>false</LinksUpToDate>
  <CharactersWithSpaces>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2024-12-05T20:15:00Z</dcterms:created>
  <dcterms:modified xsi:type="dcterms:W3CDTF">2024-12-05T20:16:00Z</dcterms:modified>
</cp:coreProperties>
</file>