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6CAD2" w14:textId="77777777" w:rsidR="00EB2EB7" w:rsidRDefault="00EB2EB7" w:rsidP="00EB2EB7">
      <w:pPr>
        <w:tabs>
          <w:tab w:val="num" w:pos="720"/>
        </w:tabs>
        <w:ind w:left="720" w:hanging="360"/>
        <w:jc w:val="both"/>
      </w:pPr>
    </w:p>
    <w:p w14:paraId="4389713B" w14:textId="4C9BC791" w:rsidR="00EB2EB7" w:rsidRDefault="00EB2EB7" w:rsidP="00EB2EB7">
      <w:pPr>
        <w:ind w:left="720"/>
        <w:jc w:val="both"/>
        <w:rPr>
          <w:b/>
          <w:bCs/>
        </w:rPr>
      </w:pPr>
      <w:r w:rsidRPr="00EB2EB7">
        <w:rPr>
          <w:b/>
          <w:bCs/>
        </w:rPr>
        <w:drawing>
          <wp:inline distT="0" distB="0" distL="0" distR="0" wp14:anchorId="0F43D1BB" wp14:editId="5C9BB97A">
            <wp:extent cx="5226050" cy="3010018"/>
            <wp:effectExtent l="0" t="0" r="0" b="0"/>
            <wp:docPr id="602651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51870" name=""/>
                    <pic:cNvPicPr/>
                  </pic:nvPicPr>
                  <pic:blipFill>
                    <a:blip r:embed="rId5"/>
                    <a:stretch>
                      <a:fillRect/>
                    </a:stretch>
                  </pic:blipFill>
                  <pic:spPr>
                    <a:xfrm>
                      <a:off x="0" y="0"/>
                      <a:ext cx="5237051" cy="3016354"/>
                    </a:xfrm>
                    <a:prstGeom prst="rect">
                      <a:avLst/>
                    </a:prstGeom>
                  </pic:spPr>
                </pic:pic>
              </a:graphicData>
            </a:graphic>
          </wp:inline>
        </w:drawing>
      </w:r>
    </w:p>
    <w:p w14:paraId="7839593D" w14:textId="7D0BA520" w:rsidR="00EB2EB7" w:rsidRDefault="00EB2EB7" w:rsidP="00EB2EB7">
      <w:pPr>
        <w:ind w:left="720"/>
        <w:jc w:val="both"/>
        <w:rPr>
          <w:b/>
          <w:bCs/>
        </w:rPr>
      </w:pPr>
      <w:r>
        <w:rPr>
          <w:b/>
          <w:bCs/>
        </w:rPr>
        <w:t>FIELES AL EVANGELIO HASTA EL FINAL</w:t>
      </w:r>
    </w:p>
    <w:p w14:paraId="1A43BBDE" w14:textId="0AC9BBE1" w:rsidR="00EB2EB7" w:rsidRPr="00EB2EB7" w:rsidRDefault="00EB2EB7" w:rsidP="00EB2EB7">
      <w:pPr>
        <w:numPr>
          <w:ilvl w:val="0"/>
          <w:numId w:val="1"/>
        </w:numPr>
        <w:jc w:val="both"/>
        <w:rPr>
          <w:b/>
          <w:bCs/>
        </w:rPr>
      </w:pPr>
      <w:hyperlink r:id="rId6" w:history="1">
        <w:r w:rsidRPr="00EB2EB7">
          <w:rPr>
            <w:rStyle w:val="Hipervnculo"/>
            <w:b/>
            <w:bCs/>
          </w:rPr>
          <w:t xml:space="preserve">Por el Padre Joaquim </w:t>
        </w:r>
        <w:proofErr w:type="spellStart"/>
        <w:r w:rsidRPr="00EB2EB7">
          <w:rPr>
            <w:rStyle w:val="Hipervnculo"/>
            <w:b/>
            <w:bCs/>
          </w:rPr>
          <w:t>Jocélio</w:t>
        </w:r>
        <w:proofErr w:type="spellEnd"/>
      </w:hyperlink>
    </w:p>
    <w:p w14:paraId="338AEA1F" w14:textId="77777777" w:rsidR="00EB2EB7" w:rsidRPr="00EB2EB7" w:rsidRDefault="00EB2EB7" w:rsidP="00EB2EB7">
      <w:pPr>
        <w:jc w:val="both"/>
      </w:pPr>
      <w:r w:rsidRPr="00EB2EB7">
        <w:t>Concluimos nuestro breve estudio de las Escrituras tratando con un conjunto de libros del Nuevo Testamento (NT) llamados </w:t>
      </w:r>
      <w:r w:rsidRPr="00EB2EB7">
        <w:rPr>
          <w:b/>
          <w:bCs/>
        </w:rPr>
        <w:t>Cartas Católicas</w:t>
      </w:r>
      <w:r w:rsidRPr="00EB2EB7">
        <w:t> . En esta ocasión también presentaremos la </w:t>
      </w:r>
      <w:r w:rsidRPr="00EB2EB7">
        <w:rPr>
          <w:b/>
          <w:bCs/>
        </w:rPr>
        <w:t>Carta a los Hebreos,</w:t>
      </w:r>
      <w:r w:rsidRPr="00EB2EB7">
        <w:t xml:space="preserve"> que no encaja en las divisiones en bloques habituales de los libros bíblicos. Las letras católicas reciben su nombre porque la palabra “católica” tiene el significado de “universal”. Y este término puede pensarse tanto en relación con los destinatarios de estas cartas como con su contenido. Las cartas paulinas, por ejemplo, estaban dirigidas a una Iglesia concreta (Corinto, </w:t>
      </w:r>
      <w:proofErr w:type="spellStart"/>
      <w:r w:rsidRPr="00EB2EB7">
        <w:t>Galacia</w:t>
      </w:r>
      <w:proofErr w:type="spellEnd"/>
      <w:r w:rsidRPr="00EB2EB7">
        <w:t xml:space="preserve">, Filipos, etc.), mientras que las cartas católicas se dirigían a todas las Iglesias. Las cartas paulinas abordan problemas específicos, mientras que las cartas católicas presentan cuestiones más generales. Por eso se les llama católicos, es decir, universales. Ellos son: Carta de Santiago, Primera y Segunda de Pedro y Judas. Otra característica de estas cartas es la </w:t>
      </w:r>
      <w:proofErr w:type="spellStart"/>
      <w:r w:rsidRPr="00EB2EB7">
        <w:t>pseudoepigrafía</w:t>
      </w:r>
      <w:proofErr w:type="spellEnd"/>
      <w:r w:rsidRPr="00EB2EB7">
        <w:t>, es decir, se atribuyen a determinadas personalidades, pero no fueron escritas por ellos. No fueron Pedro, Santiago y Judas quienes escribieron las cartas que llevan su nombre. Están escritos desde finales del siglo I y principios del segundo, muchas décadas después de la muerte de los apóstoles.</w:t>
      </w:r>
    </w:p>
    <w:p w14:paraId="7344831F" w14:textId="77777777" w:rsidR="00EB2EB7" w:rsidRPr="00EB2EB7" w:rsidRDefault="00EB2EB7" w:rsidP="00EB2EB7">
      <w:pPr>
        <w:jc w:val="both"/>
      </w:pPr>
      <w:r w:rsidRPr="00EB2EB7">
        <w:t>La </w:t>
      </w:r>
      <w:r w:rsidRPr="00EB2EB7">
        <w:rPr>
          <w:b/>
          <w:bCs/>
        </w:rPr>
        <w:t>Carta de Santiago</w:t>
      </w:r>
      <w:r w:rsidRPr="00EB2EB7">
        <w:t> tiene un estilo sapiencial, es decir, proporciona una guía profunda para vivir la voluntad de Dios en la vida cotidiana. Habla de tentaciones, del peligro que puede suponer el lenguaje, de la discriminación, de la fe como práctica, critica la riqueza, etc. Posiblemente, la carta se atribuye a Santiago, llamado “hermano del Señor” que tenía gran autoridad en la Iglesia de Jerusalén (Cf. Mc 6,3; Hechos 15,13-21; Gal 1,19; 2,12). Destacan dos temas muy importantes: </w:t>
      </w:r>
      <w:r w:rsidRPr="00EB2EB7">
        <w:rPr>
          <w:b/>
          <w:bCs/>
        </w:rPr>
        <w:t>la fe a través de las obras</w:t>
      </w:r>
      <w:r w:rsidRPr="00EB2EB7">
        <w:t> y la </w:t>
      </w:r>
      <w:r w:rsidRPr="00EB2EB7">
        <w:rPr>
          <w:b/>
          <w:bCs/>
        </w:rPr>
        <w:t>centralidad de los pobres</w:t>
      </w:r>
      <w:r w:rsidRPr="00EB2EB7">
        <w:t> . El primer tema a menudo se opone a la enseñanza de Pablo, quien argumentó que </w:t>
      </w:r>
      <w:r w:rsidRPr="00EB2EB7">
        <w:rPr>
          <w:i/>
          <w:iCs/>
        </w:rPr>
        <w:t>“el hombre no se hace justo por las obras de la ley, sino sólo por la fe en Jesucristo”</w:t>
      </w:r>
      <w:r w:rsidRPr="00EB2EB7">
        <w:t> (Gálatas 2:16), </w:t>
      </w:r>
      <w:r w:rsidRPr="00EB2EB7">
        <w:rPr>
          <w:i/>
          <w:iCs/>
        </w:rPr>
        <w:t>“el hombre se hace justo por fe, independientemente de la observancia de la Ley”</w:t>
      </w:r>
      <w:r w:rsidRPr="00EB2EB7">
        <w:t> (</w:t>
      </w:r>
      <w:proofErr w:type="spellStart"/>
      <w:r w:rsidRPr="00EB2EB7">
        <w:t>Rm</w:t>
      </w:r>
      <w:proofErr w:type="spellEnd"/>
      <w:r w:rsidRPr="00EB2EB7">
        <w:t xml:space="preserve"> 3,28). Santiago enseña que la fe </w:t>
      </w:r>
      <w:r w:rsidRPr="00EB2EB7">
        <w:rPr>
          <w:i/>
          <w:iCs/>
        </w:rPr>
        <w:t>“sin obras está completamente muerta”</w:t>
      </w:r>
      <w:r w:rsidRPr="00EB2EB7">
        <w:t> (2,17) y que </w:t>
      </w:r>
      <w:r w:rsidRPr="00EB2EB7">
        <w:rPr>
          <w:i/>
          <w:iCs/>
        </w:rPr>
        <w:t>“el hombre es justificado por las obras, y no sólo por la fe”</w:t>
      </w:r>
      <w:r w:rsidRPr="00EB2EB7">
        <w:t xml:space="preserve"> (2,24). </w:t>
      </w:r>
      <w:r w:rsidRPr="00EB2EB7">
        <w:lastRenderedPageBreak/>
        <w:t>Entonces, ¿quién tiene razón? ¡Ambos! Paul y James hablan de cosas diferentes. Pablo habla de </w:t>
      </w:r>
      <w:r w:rsidRPr="00EB2EB7">
        <w:rPr>
          <w:b/>
          <w:bCs/>
        </w:rPr>
        <w:t>las obras de la ley</w:t>
      </w:r>
      <w:r w:rsidRPr="00EB2EB7">
        <w:t> , es decir, de </w:t>
      </w:r>
      <w:r w:rsidRPr="00EB2EB7">
        <w:rPr>
          <w:b/>
          <w:bCs/>
        </w:rPr>
        <w:t>las tradiciones y costumbres judías</w:t>
      </w:r>
      <w:r w:rsidRPr="00EB2EB7">
        <w:t> . No salvan, sino la fe en Jesús. Y esta fe no se entiende como algo simplemente teórico; Pablo no ignora el requisito de la práctica cristiana. Incluso afirma que </w:t>
      </w:r>
      <w:r w:rsidRPr="00EB2EB7">
        <w:rPr>
          <w:i/>
          <w:iCs/>
        </w:rPr>
        <w:t>“en Jesucristo lo que cuenta no es la circuncisión o la no circuncisión, sino la fe que obra por el amor”</w:t>
      </w:r>
      <w:r w:rsidRPr="00EB2EB7">
        <w:t> (Gal 5,6). Es esta acción de amor/caridad de la que trata Santiago cuando afirma: </w:t>
      </w:r>
      <w:r w:rsidRPr="00EB2EB7">
        <w:rPr>
          <w:i/>
          <w:iCs/>
        </w:rPr>
        <w:t>“por mis obras os mostraré mi fe”</w:t>
      </w:r>
      <w:r w:rsidRPr="00EB2EB7">
        <w:t> (2,18). El segundo tema fundamental en Santiago es la centralidad de los pobres: </w:t>
      </w:r>
      <w:r w:rsidRPr="00EB2EB7">
        <w:rPr>
          <w:i/>
          <w:iCs/>
        </w:rPr>
        <w:t>“La religión pura y sin mancha delante de Dios nuestro Padre es ésta: ayudar a los huérfanos y a las viudas en apuros, y mantenerse libres de la corrupción del mundo”</w:t>
      </w:r>
      <w:r w:rsidRPr="00EB2EB7">
        <w:t> (2, 27). Critica la discriminación que se hace al dar, en las reuniones comunitarias, los mejores asientos a los ricos y descuidar a los pobres (Cf. 2,1-4), cuestionando: </w:t>
      </w:r>
      <w:r w:rsidRPr="00EB2EB7">
        <w:rPr>
          <w:i/>
          <w:iCs/>
        </w:rPr>
        <w:t>“no fue Dios quien eligió a los que son pobres a los ojos”. del mundo, para hacerlos ricos en fe y herederos del Reino que prometió a los que lo aman?”</w:t>
      </w:r>
      <w:r w:rsidRPr="00EB2EB7">
        <w:t> (2.5). Además, al estilo de los profetas de Israel, Santiago hace la crítica más dura a los ricos y a las riquezas del Nuevo Testamento (Cf. 5,1-6).</w:t>
      </w:r>
    </w:p>
    <w:p w14:paraId="266730A1" w14:textId="77777777" w:rsidR="00EB2EB7" w:rsidRPr="00EB2EB7" w:rsidRDefault="00EB2EB7" w:rsidP="00EB2EB7">
      <w:pPr>
        <w:jc w:val="both"/>
      </w:pPr>
      <w:r w:rsidRPr="00EB2EB7">
        <w:t>La </w:t>
      </w:r>
      <w:r w:rsidRPr="00EB2EB7">
        <w:rPr>
          <w:b/>
          <w:bCs/>
        </w:rPr>
        <w:t>Primera Carta de Pedro</w:t>
      </w:r>
      <w:r w:rsidRPr="00EB2EB7">
        <w:t> es la exhortación de un pastor que quiere animar a la comunidad frente a la persecución. Esta carta </w:t>
      </w:r>
      <w:r w:rsidRPr="00EB2EB7">
        <w:rPr>
          <w:i/>
          <w:iCs/>
        </w:rPr>
        <w:t>“está dirigida a los extranjeros residentes y a los extranjeros en tránsito que, después de su conversión al cristianismo, todavía se sienten extraños y sin un lugar entre ellos”</w:t>
      </w:r>
      <w:r w:rsidRPr="00EB2EB7">
        <w:t> (JH Elliott). El término griego utilizado para designarlos es “</w:t>
      </w:r>
      <w:proofErr w:type="spellStart"/>
      <w:r w:rsidRPr="00EB2EB7">
        <w:t>paroikoi</w:t>
      </w:r>
      <w:proofErr w:type="spellEnd"/>
      <w:r w:rsidRPr="00EB2EB7">
        <w:t>” [los sin hogar]. </w:t>
      </w:r>
      <w:r w:rsidRPr="00EB2EB7">
        <w:rPr>
          <w:i/>
          <w:iCs/>
        </w:rPr>
        <w:t>“Entre los </w:t>
      </w:r>
      <w:proofErr w:type="spellStart"/>
      <w:r w:rsidRPr="00EB2EB7">
        <w:rPr>
          <w:b/>
          <w:bCs/>
          <w:i/>
          <w:iCs/>
        </w:rPr>
        <w:t>paroikoi</w:t>
      </w:r>
      <w:proofErr w:type="spellEnd"/>
      <w:r w:rsidRPr="00EB2EB7">
        <w:rPr>
          <w:i/>
          <w:iCs/>
        </w:rPr>
        <w:t> había esclavos, sirvientes y aquellos que constituían la multitud de extranjeros descalificados y apátridas, que carecían de ciudadanía ni en su propia patria ni en el lugar donde residían”</w:t>
      </w:r>
      <w:r w:rsidRPr="00EB2EB7">
        <w:t> (JH Elliott). El autor les enseña a tener perseverancia. Como no tenían mucho poder, para no ser perseguidos, la manera de resistir era con el ejemplo de vida. Deben hacer una diferencia basada en el amor: </w:t>
      </w:r>
      <w:r w:rsidRPr="00EB2EB7">
        <w:rPr>
          <w:i/>
          <w:iCs/>
        </w:rPr>
        <w:t>“Portad ejemplarmente entre los paganos, para que ellos, aun cuando hablen mal de vosotros como si fueran malhechores, al ver las buenas obras que hacéis, glorifiquen a Dios en el cielo. el día del juicio… Porque ésta es la voluntad de Dios: hacer el bien, acallando la ignorancia de los necios”</w:t>
      </w:r>
      <w:r w:rsidRPr="00EB2EB7">
        <w:t> (2,12.15). Esta es la identidad del cristiano, amar, hacer el bien: </w:t>
      </w:r>
      <w:r w:rsidRPr="00EB2EB7">
        <w:rPr>
          <w:i/>
          <w:iCs/>
        </w:rPr>
        <w:t>“</w:t>
      </w:r>
      <w:proofErr w:type="spellStart"/>
      <w:r w:rsidRPr="00EB2EB7">
        <w:rPr>
          <w:i/>
          <w:iCs/>
        </w:rPr>
        <w:t>manténed</w:t>
      </w:r>
      <w:proofErr w:type="spellEnd"/>
      <w:r w:rsidRPr="00EB2EB7">
        <w:rPr>
          <w:i/>
          <w:iCs/>
        </w:rPr>
        <w:t xml:space="preserve"> entre vosotros gran amor, porque el amor cubre multitud de pecados. Practiquen la hospitalidad unos con otros sin murmuraciones”</w:t>
      </w:r>
      <w:r w:rsidRPr="00EB2EB7">
        <w:t> (4:8-9).</w:t>
      </w:r>
    </w:p>
    <w:p w14:paraId="5FC14769" w14:textId="77777777" w:rsidR="00EB2EB7" w:rsidRPr="00EB2EB7" w:rsidRDefault="00EB2EB7" w:rsidP="00EB2EB7">
      <w:pPr>
        <w:jc w:val="both"/>
      </w:pPr>
      <w:r w:rsidRPr="00EB2EB7">
        <w:t>La </w:t>
      </w:r>
      <w:r w:rsidRPr="00EB2EB7">
        <w:rPr>
          <w:b/>
          <w:bCs/>
        </w:rPr>
        <w:t>Segunda Carta de Pedro</w:t>
      </w:r>
      <w:r w:rsidRPr="00EB2EB7">
        <w:t> tiene muchas similitudes con la Carta de Judas; de hecho, esto se utilizó, en gran medida, en la formación de 2Pd. Aparece el tema de la segunda venida de Cristo y los problemas con los falsos profetas. Es necesario mantener incontaminada la fe, por eso es necesario </w:t>
      </w:r>
      <w:r w:rsidRPr="00EB2EB7">
        <w:rPr>
          <w:i/>
          <w:iCs/>
        </w:rPr>
        <w:t>“más fraternidad en la piedad y más amor en la fraternidad”</w:t>
      </w:r>
      <w:r w:rsidRPr="00EB2EB7">
        <w:t> (1,7). La carta trae la idea apocalíptica de una nueva sociedad: </w:t>
      </w:r>
      <w:r w:rsidRPr="00EB2EB7">
        <w:rPr>
          <w:i/>
          <w:iCs/>
        </w:rPr>
        <w:t xml:space="preserve">“Lo que esperamos, según su promesa, son </w:t>
      </w:r>
      <w:proofErr w:type="gramStart"/>
      <w:r w:rsidRPr="00EB2EB7">
        <w:rPr>
          <w:i/>
          <w:iCs/>
        </w:rPr>
        <w:t>cielos nuevos y tierra nueva</w:t>
      </w:r>
      <w:proofErr w:type="gramEnd"/>
      <w:r w:rsidRPr="00EB2EB7">
        <w:rPr>
          <w:i/>
          <w:iCs/>
        </w:rPr>
        <w:t>, donde habitará la justicia”</w:t>
      </w:r>
      <w:r w:rsidRPr="00EB2EB7">
        <w:t> (3,3). Aparece un estilo testamentario espiritual, al igual que la Segunda Carta a Timoteo. 2Pd reafirma la soberanía salvadora de Jesús (1,2-16; 3,11.14.17). Incluso llega a criticar el desprecio ético de algunos grupos: </w:t>
      </w:r>
      <w:r w:rsidRPr="00EB2EB7">
        <w:rPr>
          <w:i/>
          <w:iCs/>
        </w:rPr>
        <w:t>“Prometen a esta gente libertad, pero ellos mismos son esclavos de la corrupción, porque cada uno es esclavo del que lo vence”</w:t>
      </w:r>
      <w:r w:rsidRPr="00EB2EB7">
        <w:t> (2,19). Posiblemente sea de principios de siglo. II; por lo tanto, es el último texto escrito en el Nuevo Testamento. A pesar de no ser muy conocida y tener un tono de disputa controvertido, la 2Pd es un buen ejemplo de teología pastoral: </w:t>
      </w:r>
      <w:r w:rsidRPr="00EB2EB7">
        <w:rPr>
          <w:i/>
          <w:iCs/>
        </w:rPr>
        <w:t>“busca comprender la raíz teológica de la praxis, llevar el anuncio (conocimiento) según la Escritura y el testimonio de los apóstoles. , y finalmente volver revitalizados a una práctica renovada de la vida”</w:t>
      </w:r>
      <w:r w:rsidRPr="00EB2EB7">
        <w:t xml:space="preserve"> (C. </w:t>
      </w:r>
      <w:proofErr w:type="spellStart"/>
      <w:r w:rsidRPr="00EB2EB7">
        <w:t>Broccardo</w:t>
      </w:r>
      <w:proofErr w:type="spellEnd"/>
      <w:r w:rsidRPr="00EB2EB7">
        <w:t>).</w:t>
      </w:r>
    </w:p>
    <w:p w14:paraId="14DD6675" w14:textId="77777777" w:rsidR="00EB2EB7" w:rsidRPr="00EB2EB7" w:rsidRDefault="00EB2EB7" w:rsidP="00EB2EB7">
      <w:pPr>
        <w:jc w:val="both"/>
      </w:pPr>
      <w:r w:rsidRPr="00EB2EB7">
        <w:lastRenderedPageBreak/>
        <w:t>La </w:t>
      </w:r>
      <w:r w:rsidRPr="00EB2EB7">
        <w:rPr>
          <w:b/>
          <w:bCs/>
        </w:rPr>
        <w:t>Carta de Judas</w:t>
      </w:r>
      <w:r w:rsidRPr="00EB2EB7">
        <w:t> es un escrito breve que busca fortalecer la fe de la comunidad; fe amenazada por falsos profetas: </w:t>
      </w:r>
      <w:r w:rsidRPr="00EB2EB7">
        <w:rPr>
          <w:i/>
          <w:iCs/>
        </w:rPr>
        <w:t>“Se han infiltrado entre vosotros algunos individuos que desde hace mucho tiempo están registrados para el juicio. Son malvados los que toman la gracia de nuestro Dios como pretexto para el libertinaje y niegan a Jesucristo, nuestro único Soberano y Señor”</w:t>
      </w:r>
      <w:r w:rsidRPr="00EB2EB7">
        <w:t> (v 4). La carta se atribuye a Judas. Posiblemente, este Judas no sea uno de los dos apóstoles con ese nombre, sino uno de los familiares de Jesús, ya que el autor se presenta como hermano de Santiago (Cf. Mc 6,3). Se presenta como maestro, no como apóstol (v 3.17). Conoce y alude a textos apócrifos, es decir, textos que pretendían ser sagrados, pero que no estaban incluidos en la lista de libros inspirados (canon), ni en la lista judía ni en la cristiana. Judas alude al libro de Enoc (v 6.12-16), la Asunción de Moisés (v 9) y el Testamento de los Doce Patriarcas (v 6-7). </w:t>
      </w:r>
      <w:r w:rsidRPr="00EB2EB7">
        <w:rPr>
          <w:i/>
          <w:iCs/>
        </w:rPr>
        <w:t>“Sin embargo, lo que hace más original la Carta de Judas no es el número de referencias, sino la mediación de la literatura llamada apócrifa”</w:t>
      </w:r>
      <w:r w:rsidRPr="00EB2EB7">
        <w:t xml:space="preserve"> (C. </w:t>
      </w:r>
      <w:proofErr w:type="spellStart"/>
      <w:r w:rsidRPr="00EB2EB7">
        <w:t>Broccardo</w:t>
      </w:r>
      <w:proofErr w:type="spellEnd"/>
      <w:r w:rsidRPr="00EB2EB7">
        <w:t>). </w:t>
      </w:r>
    </w:p>
    <w:p w14:paraId="0CB04BC8" w14:textId="77777777" w:rsidR="00EB2EB7" w:rsidRPr="00EB2EB7" w:rsidRDefault="00EB2EB7" w:rsidP="00EB2EB7">
      <w:pPr>
        <w:jc w:val="both"/>
      </w:pPr>
      <w:r w:rsidRPr="00EB2EB7">
        <w:t>La </w:t>
      </w:r>
      <w:r w:rsidRPr="00EB2EB7">
        <w:rPr>
          <w:b/>
          <w:bCs/>
        </w:rPr>
        <w:t>Carta a los Hebreos</w:t>
      </w:r>
      <w:r w:rsidRPr="00EB2EB7">
        <w:t> habla del verdadero sacerdocio y del verdadero sacrificio. Durante mucho tiempo se consideró un escrito paulino, pero hoy en día se cuestiona incluso su género de carta y sus destinatarios (los hebreos). De hecho, </w:t>
      </w:r>
      <w:r w:rsidRPr="00EB2EB7">
        <w:rPr>
          <w:i/>
          <w:iCs/>
        </w:rPr>
        <w:t>“se podría proponer una presentación de la 'epístola de San Pablo a los Hebreos' en tres puntos: 1) no es una epístola; 2) no es de São Paulo; 3) no está dirigido a los hebreos. Por tanto, sería mucho mejor llamarlo 'Predicación sobre el Sacerdocio de Cristo' o, más brevemente, 'Sermón Sacerdotal'”</w:t>
      </w:r>
      <w:r w:rsidRPr="00EB2EB7">
        <w:t xml:space="preserve"> (A. </w:t>
      </w:r>
      <w:proofErr w:type="spellStart"/>
      <w:r w:rsidRPr="00EB2EB7">
        <w:t>Vanhoye</w:t>
      </w:r>
      <w:proofErr w:type="spellEnd"/>
      <w:r w:rsidRPr="00EB2EB7">
        <w:t>). Se trata de un sermón de autor anónimo dirigido a los cristianos a finales del siglo I. Es el único texto del Nuevo Testamento que habla de Jesús como sacerdote; y lo hace distinguiendo su sacerdocio del judío que ya había terminado tras la destrucción del templo de Jerusalén en el año 70 d.C. Jesús es el único y verdadero sacerdote y sólo la donación de su propia vida perdonó los pecados (10,11-. 18). Su condición de Hijo supera a Moisés y a los ángeles. El sacrificio de Cristo fue hecho de una vez por todas. Sólo Cristo es el mediador perfecto. Jesús </w:t>
      </w:r>
      <w:r w:rsidRPr="00EB2EB7">
        <w:rPr>
          <w:i/>
          <w:iCs/>
        </w:rPr>
        <w:t>“tenía que ser en todo semejante a sus hermanos, llegar a ser sumo sacerdote misericordioso y fiel en las cosas de Dios, para expiar los pecados del pueblo. De hecho, precisamente porque fue puesto a prueba y porque sufrió personalmente, puede acudir en ayuda de quienes están siendo probados”.</w:t>
      </w:r>
      <w:r w:rsidRPr="00EB2EB7">
        <w:t> (2,17-18). La Carta a los Hebreos es también una invitación a perseverar en la fe, incluso en medio de la persecución: </w:t>
      </w:r>
      <w:r w:rsidRPr="00EB2EB7">
        <w:rPr>
          <w:i/>
          <w:iCs/>
        </w:rPr>
        <w:t>“No desmayéis ahora, porque os espera una gran recompensa. Sólo hace falta perseverancia para cumplir la voluntad de Dios, y así alcanzar lo que él prometió”</w:t>
      </w:r>
      <w:r w:rsidRPr="00EB2EB7">
        <w:t> (10,35-36).</w:t>
      </w:r>
    </w:p>
    <w:p w14:paraId="6257F0C0" w14:textId="77777777" w:rsidR="00EB2EB7" w:rsidRPr="00EB2EB7" w:rsidRDefault="00EB2EB7" w:rsidP="00EB2EB7">
      <w:pPr>
        <w:jc w:val="both"/>
      </w:pPr>
      <w:r w:rsidRPr="00EB2EB7">
        <w:t>Concluimos nuestra breve Introducción a la Biblia precisamente con una reflexión sobre la Carta a los Hebreos. Nos recuerda que muchos nos han precedido en la fe y son modelos para que permanezcamos fieles a pesar de la persecución. Lo importante es no perder de vista que el centro de atención es Jesús, su manera de ser y de amar. Siempre debemos mirar toda la Escritura de Jesús y entender que no estudiamos la Biblia para ser más inteligentes o médicos, sino para que, conociendo más la Palabra de Dios, podamos vivir su voluntad, ser más como Jesús, amando como él amaba. </w:t>
      </w:r>
      <w:r w:rsidRPr="00EB2EB7">
        <w:rPr>
          <w:i/>
          <w:iCs/>
        </w:rPr>
        <w:t>“Estamos rodeados por esta gran nube de testigos. Dejemos a un lado todo lo que nos estorba y el pecado que nos aferra. Corramos la carrera con perseverancia, manteniendo los ojos fijos en Jesús, el autor y consumador de la fe”</w:t>
      </w:r>
      <w:r w:rsidRPr="00EB2EB7">
        <w:t> (</w:t>
      </w:r>
      <w:proofErr w:type="spellStart"/>
      <w:r w:rsidRPr="00EB2EB7">
        <w:t>Heb</w:t>
      </w:r>
      <w:proofErr w:type="spellEnd"/>
      <w:r w:rsidRPr="00EB2EB7">
        <w:t xml:space="preserve"> 12,1-2).</w:t>
      </w:r>
    </w:p>
    <w:p w14:paraId="330F1AD3" w14:textId="7589B5BB" w:rsidR="00926044" w:rsidRDefault="00EB2EB7" w:rsidP="00EB2EB7">
      <w:hyperlink r:id="rId7" w:history="1">
        <w:r w:rsidRPr="00261501">
          <w:rPr>
            <w:rStyle w:val="Hipervnculo"/>
          </w:rPr>
          <w:t>https://portaldascebs.org.br/fieis-ao-evangelho-ate-o-fim/</w:t>
        </w:r>
      </w:hyperlink>
    </w:p>
    <w:p w14:paraId="79D9E591" w14:textId="77777777" w:rsidR="00EB2EB7" w:rsidRPr="00EB2EB7" w:rsidRDefault="00EB2EB7" w:rsidP="00EB2EB7"/>
    <w:sectPr w:rsidR="00EB2EB7" w:rsidRPr="00EB2E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C276D"/>
    <w:multiLevelType w:val="multilevel"/>
    <w:tmpl w:val="73A0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8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B7"/>
    <w:rsid w:val="002E1A31"/>
    <w:rsid w:val="00926044"/>
    <w:rsid w:val="00DE17AC"/>
    <w:rsid w:val="00EB2EB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99B9"/>
  <w15:chartTrackingRefBased/>
  <w15:docId w15:val="{F3245133-C2CC-4BF6-9DFB-1B8C3BEB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2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2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2E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2E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2E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2E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2E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2E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2E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2E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2E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2E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2E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2E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2E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2E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2E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2EB7"/>
    <w:rPr>
      <w:rFonts w:eastAsiaTheme="majorEastAsia" w:cstheme="majorBidi"/>
      <w:color w:val="272727" w:themeColor="text1" w:themeTint="D8"/>
    </w:rPr>
  </w:style>
  <w:style w:type="paragraph" w:styleId="Ttulo">
    <w:name w:val="Title"/>
    <w:basedOn w:val="Normal"/>
    <w:next w:val="Normal"/>
    <w:link w:val="TtuloCar"/>
    <w:uiPriority w:val="10"/>
    <w:qFormat/>
    <w:rsid w:val="00EB2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2E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2E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2E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2EB7"/>
    <w:pPr>
      <w:spacing w:before="160"/>
      <w:jc w:val="center"/>
    </w:pPr>
    <w:rPr>
      <w:i/>
      <w:iCs/>
      <w:color w:val="404040" w:themeColor="text1" w:themeTint="BF"/>
    </w:rPr>
  </w:style>
  <w:style w:type="character" w:customStyle="1" w:styleId="CitaCar">
    <w:name w:val="Cita Car"/>
    <w:basedOn w:val="Fuentedeprrafopredeter"/>
    <w:link w:val="Cita"/>
    <w:uiPriority w:val="29"/>
    <w:rsid w:val="00EB2EB7"/>
    <w:rPr>
      <w:i/>
      <w:iCs/>
      <w:color w:val="404040" w:themeColor="text1" w:themeTint="BF"/>
    </w:rPr>
  </w:style>
  <w:style w:type="paragraph" w:styleId="Prrafodelista">
    <w:name w:val="List Paragraph"/>
    <w:basedOn w:val="Normal"/>
    <w:uiPriority w:val="34"/>
    <w:qFormat/>
    <w:rsid w:val="00EB2EB7"/>
    <w:pPr>
      <w:ind w:left="720"/>
      <w:contextualSpacing/>
    </w:pPr>
  </w:style>
  <w:style w:type="character" w:styleId="nfasisintenso">
    <w:name w:val="Intense Emphasis"/>
    <w:basedOn w:val="Fuentedeprrafopredeter"/>
    <w:uiPriority w:val="21"/>
    <w:qFormat/>
    <w:rsid w:val="00EB2EB7"/>
    <w:rPr>
      <w:i/>
      <w:iCs/>
      <w:color w:val="0F4761" w:themeColor="accent1" w:themeShade="BF"/>
    </w:rPr>
  </w:style>
  <w:style w:type="paragraph" w:styleId="Citadestacada">
    <w:name w:val="Intense Quote"/>
    <w:basedOn w:val="Normal"/>
    <w:next w:val="Normal"/>
    <w:link w:val="CitadestacadaCar"/>
    <w:uiPriority w:val="30"/>
    <w:qFormat/>
    <w:rsid w:val="00EB2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2EB7"/>
    <w:rPr>
      <w:i/>
      <w:iCs/>
      <w:color w:val="0F4761" w:themeColor="accent1" w:themeShade="BF"/>
    </w:rPr>
  </w:style>
  <w:style w:type="character" w:styleId="Referenciaintensa">
    <w:name w:val="Intense Reference"/>
    <w:basedOn w:val="Fuentedeprrafopredeter"/>
    <w:uiPriority w:val="32"/>
    <w:qFormat/>
    <w:rsid w:val="00EB2EB7"/>
    <w:rPr>
      <w:b/>
      <w:bCs/>
      <w:smallCaps/>
      <w:color w:val="0F4761" w:themeColor="accent1" w:themeShade="BF"/>
      <w:spacing w:val="5"/>
    </w:rPr>
  </w:style>
  <w:style w:type="character" w:styleId="Hipervnculo">
    <w:name w:val="Hyperlink"/>
    <w:basedOn w:val="Fuentedeprrafopredeter"/>
    <w:uiPriority w:val="99"/>
    <w:unhideWhenUsed/>
    <w:rsid w:val="00EB2EB7"/>
    <w:rPr>
      <w:color w:val="467886" w:themeColor="hyperlink"/>
      <w:u w:val="single"/>
    </w:rPr>
  </w:style>
  <w:style w:type="character" w:styleId="Mencinsinresolver">
    <w:name w:val="Unresolved Mention"/>
    <w:basedOn w:val="Fuentedeprrafopredeter"/>
    <w:uiPriority w:val="99"/>
    <w:semiHidden/>
    <w:unhideWhenUsed/>
    <w:rsid w:val="00EB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516923">
      <w:bodyDiv w:val="1"/>
      <w:marLeft w:val="0"/>
      <w:marRight w:val="0"/>
      <w:marTop w:val="0"/>
      <w:marBottom w:val="0"/>
      <w:divBdr>
        <w:top w:val="none" w:sz="0" w:space="0" w:color="auto"/>
        <w:left w:val="none" w:sz="0" w:space="0" w:color="auto"/>
        <w:bottom w:val="none" w:sz="0" w:space="0" w:color="auto"/>
        <w:right w:val="none" w:sz="0" w:space="0" w:color="auto"/>
      </w:divBdr>
    </w:div>
    <w:div w:id="15102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dascebs.org.br/fieis-ao-evangelho-ate-o-f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dascebs.org.br/autor-colunista/padre-joaquim-joceli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1549</Words>
  <Characters>8520</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2024-12-13T17:20:00Z</dcterms:created>
  <dcterms:modified xsi:type="dcterms:W3CDTF">2024-12-13T17:22:00Z</dcterms:modified>
</cp:coreProperties>
</file>