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AEB2EA" w14:textId="2FA8C82D" w:rsidR="00707D13" w:rsidRDefault="00707D13" w:rsidP="00707D13">
      <w:pPr>
        <w:spacing w:after="0" w:line="240" w:lineRule="auto"/>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drawing>
          <wp:inline distT="0" distB="0" distL="0" distR="0" wp14:anchorId="791441AF" wp14:editId="36C7DEA2">
            <wp:extent cx="5400040" cy="2092325"/>
            <wp:effectExtent l="0" t="0" r="0" b="3175"/>
            <wp:docPr id="870221284" name="Imagen 1" descr="Imagen que contiene persona, hombre, viendo,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21284" name="Imagen 1" descr="Imagen que contiene persona, hombre, viendo, mujer&#10;&#10;Descripción generada automáticamente"/>
                    <pic:cNvPicPr/>
                  </pic:nvPicPr>
                  <pic:blipFill>
                    <a:blip r:embed="rId4"/>
                    <a:stretch>
                      <a:fillRect/>
                    </a:stretch>
                  </pic:blipFill>
                  <pic:spPr>
                    <a:xfrm>
                      <a:off x="0" y="0"/>
                      <a:ext cx="5400040" cy="2092325"/>
                    </a:xfrm>
                    <a:prstGeom prst="rect">
                      <a:avLst/>
                    </a:prstGeom>
                  </pic:spPr>
                </pic:pic>
              </a:graphicData>
            </a:graphic>
          </wp:inline>
        </w:drawing>
      </w:r>
    </w:p>
    <w:p w14:paraId="15273788"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24DF55D5" w14:textId="65129691"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"La Iglesia “en salida” necesita urgentemente una visión como la de la </w:t>
      </w:r>
      <w:r w:rsidRPr="00707D13">
        <w:rPr>
          <w:rFonts w:ascii="Arial" w:eastAsia="Times New Roman" w:hAnsi="Arial" w:cs="Arial"/>
          <w:b/>
          <w:bCs/>
          <w:color w:val="333333"/>
          <w:kern w:val="0"/>
          <w:sz w:val="26"/>
          <w:szCs w:val="26"/>
          <w:lang w:eastAsia="es-UY"/>
          <w14:ligatures w14:val="none"/>
        </w:rPr>
        <w:t>encarnación profunda</w:t>
      </w:r>
      <w:r w:rsidRPr="00707D13">
        <w:rPr>
          <w:rFonts w:ascii="Arial" w:eastAsia="Times New Roman" w:hAnsi="Arial" w:cs="Arial"/>
          <w:color w:val="333333"/>
          <w:kern w:val="0"/>
          <w:sz w:val="26"/>
          <w:szCs w:val="26"/>
          <w:lang w:eastAsia="es-UY"/>
          <w14:ligatures w14:val="none"/>
        </w:rPr>
        <w:t> , porque se muestra capaz de leer y narrar el cristianismo de manera innovadora", escribe  </w:t>
      </w:r>
      <w:hyperlink r:id="rId5" w:tgtFrame="_blank" w:history="1">
        <w:r w:rsidRPr="00707D13">
          <w:rPr>
            <w:rFonts w:ascii="Arial" w:eastAsia="Times New Roman" w:hAnsi="Arial" w:cs="Arial"/>
            <w:color w:val="FC6B01"/>
            <w:kern w:val="0"/>
            <w:sz w:val="26"/>
            <w:szCs w:val="26"/>
            <w:u w:val="single"/>
            <w:lang w:eastAsia="es-UY"/>
            <w14:ligatures w14:val="none"/>
          </w:rPr>
          <w:t xml:space="preserve">Paolo </w:t>
        </w:r>
        <w:proofErr w:type="spellStart"/>
        <w:r w:rsidRPr="00707D13">
          <w:rPr>
            <w:rFonts w:ascii="Arial" w:eastAsia="Times New Roman" w:hAnsi="Arial" w:cs="Arial"/>
            <w:color w:val="FC6B01"/>
            <w:kern w:val="0"/>
            <w:sz w:val="26"/>
            <w:szCs w:val="26"/>
            <w:u w:val="single"/>
            <w:lang w:eastAsia="es-UY"/>
            <w14:ligatures w14:val="none"/>
          </w:rPr>
          <w:t>Trianni</w:t>
        </w:r>
        <w:proofErr w:type="spellEnd"/>
      </w:hyperlink>
      <w:r w:rsidRPr="00707D13">
        <w:rPr>
          <w:rFonts w:ascii="Arial" w:eastAsia="Times New Roman" w:hAnsi="Arial" w:cs="Arial"/>
          <w:color w:val="333333"/>
          <w:kern w:val="0"/>
          <w:sz w:val="26"/>
          <w:szCs w:val="26"/>
          <w:lang w:eastAsia="es-UY"/>
          <w14:ligatures w14:val="none"/>
        </w:rPr>
        <w:t> , profesor de la Pontificia Universidad Gregoriana de Roma, en un artículo publicado por  </w:t>
      </w:r>
      <w:proofErr w:type="spellStart"/>
      <w:r w:rsidRPr="00707D13">
        <w:rPr>
          <w:rFonts w:ascii="Arial" w:eastAsia="Times New Roman" w:hAnsi="Arial" w:cs="Arial"/>
          <w:color w:val="333333"/>
          <w:kern w:val="0"/>
          <w:sz w:val="26"/>
          <w:szCs w:val="26"/>
          <w:lang w:eastAsia="es-UY"/>
          <w14:ligatures w14:val="none"/>
        </w:rPr>
        <w:fldChar w:fldCharType="begin"/>
      </w:r>
      <w:r w:rsidRPr="00707D13">
        <w:rPr>
          <w:rFonts w:ascii="Arial" w:eastAsia="Times New Roman" w:hAnsi="Arial" w:cs="Arial"/>
          <w:color w:val="333333"/>
          <w:kern w:val="0"/>
          <w:sz w:val="26"/>
          <w:szCs w:val="26"/>
          <w:lang w:eastAsia="es-UY"/>
          <w14:ligatures w14:val="none"/>
        </w:rPr>
        <w:instrText>HYPERLINK "https://www.settimananews.it/" \t "_blank"</w:instrText>
      </w:r>
      <w:r w:rsidRPr="00707D13">
        <w:rPr>
          <w:rFonts w:ascii="Arial" w:eastAsia="Times New Roman" w:hAnsi="Arial" w:cs="Arial"/>
          <w:color w:val="333333"/>
          <w:kern w:val="0"/>
          <w:sz w:val="26"/>
          <w:szCs w:val="26"/>
          <w:lang w:eastAsia="es-UY"/>
          <w14:ligatures w14:val="none"/>
        </w:rPr>
      </w:r>
      <w:r w:rsidRPr="00707D13">
        <w:rPr>
          <w:rFonts w:ascii="Arial" w:eastAsia="Times New Roman" w:hAnsi="Arial" w:cs="Arial"/>
          <w:color w:val="333333"/>
          <w:kern w:val="0"/>
          <w:sz w:val="26"/>
          <w:szCs w:val="26"/>
          <w:lang w:eastAsia="es-UY"/>
          <w14:ligatures w14:val="none"/>
        </w:rPr>
        <w:fldChar w:fldCharType="separate"/>
      </w:r>
      <w:r w:rsidRPr="00707D13">
        <w:rPr>
          <w:rFonts w:ascii="Arial" w:eastAsia="Times New Roman" w:hAnsi="Arial" w:cs="Arial"/>
          <w:color w:val="FC6B01"/>
          <w:kern w:val="0"/>
          <w:sz w:val="26"/>
          <w:szCs w:val="26"/>
          <w:u w:val="single"/>
          <w:lang w:eastAsia="es-UY"/>
          <w14:ligatures w14:val="none"/>
        </w:rPr>
        <w:t>Settimana</w:t>
      </w:r>
      <w:proofErr w:type="spellEnd"/>
      <w:r w:rsidRPr="00707D13">
        <w:rPr>
          <w:rFonts w:ascii="Arial" w:eastAsia="Times New Roman" w:hAnsi="Arial" w:cs="Arial"/>
          <w:color w:val="FC6B01"/>
          <w:kern w:val="0"/>
          <w:sz w:val="26"/>
          <w:szCs w:val="26"/>
          <w:u w:val="single"/>
          <w:lang w:eastAsia="es-UY"/>
          <w14:ligatures w14:val="none"/>
        </w:rPr>
        <w:t xml:space="preserve"> News</w:t>
      </w:r>
      <w:r w:rsidRPr="00707D13">
        <w:rPr>
          <w:rFonts w:ascii="Arial" w:eastAsia="Times New Roman" w:hAnsi="Arial" w:cs="Arial"/>
          <w:color w:val="333333"/>
          <w:kern w:val="0"/>
          <w:sz w:val="26"/>
          <w:szCs w:val="26"/>
          <w:lang w:eastAsia="es-UY"/>
          <w14:ligatures w14:val="none"/>
        </w:rPr>
        <w:fldChar w:fldCharType="end"/>
      </w:r>
      <w:r w:rsidRPr="00707D13">
        <w:rPr>
          <w:rFonts w:ascii="Arial" w:eastAsia="Times New Roman" w:hAnsi="Arial" w:cs="Arial"/>
          <w:color w:val="333333"/>
          <w:kern w:val="0"/>
          <w:sz w:val="26"/>
          <w:szCs w:val="26"/>
          <w:lang w:eastAsia="es-UY"/>
          <w14:ligatures w14:val="none"/>
        </w:rPr>
        <w:t> , 12-12-2024. La traducción es de </w:t>
      </w:r>
      <w:r w:rsidRPr="00707D13">
        <w:rPr>
          <w:rFonts w:ascii="Arial" w:eastAsia="Times New Roman" w:hAnsi="Arial" w:cs="Arial"/>
          <w:b/>
          <w:bCs/>
          <w:color w:val="333333"/>
          <w:kern w:val="0"/>
          <w:sz w:val="26"/>
          <w:szCs w:val="26"/>
          <w:lang w:eastAsia="es-UY"/>
          <w14:ligatures w14:val="none"/>
        </w:rPr>
        <w:t xml:space="preserve">Luisa </w:t>
      </w:r>
      <w:proofErr w:type="spellStart"/>
      <w:r w:rsidRPr="00707D13">
        <w:rPr>
          <w:rFonts w:ascii="Arial" w:eastAsia="Times New Roman" w:hAnsi="Arial" w:cs="Arial"/>
          <w:b/>
          <w:bCs/>
          <w:color w:val="333333"/>
          <w:kern w:val="0"/>
          <w:sz w:val="26"/>
          <w:szCs w:val="26"/>
          <w:lang w:eastAsia="es-UY"/>
          <w14:ligatures w14:val="none"/>
        </w:rPr>
        <w:t>Rabolini</w:t>
      </w:r>
      <w:proofErr w:type="spellEnd"/>
      <w:r w:rsidRPr="00707D13">
        <w:rPr>
          <w:rFonts w:ascii="Arial" w:eastAsia="Times New Roman" w:hAnsi="Arial" w:cs="Arial"/>
          <w:color w:val="333333"/>
          <w:kern w:val="0"/>
          <w:sz w:val="26"/>
          <w:szCs w:val="26"/>
          <w:lang w:eastAsia="es-UY"/>
          <w14:ligatures w14:val="none"/>
        </w:rPr>
        <w:t> .</w:t>
      </w:r>
    </w:p>
    <w:p w14:paraId="2B576715"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26EC9F7A" w14:textId="77777777" w:rsidR="00707D13" w:rsidRPr="00707D13" w:rsidRDefault="00707D13" w:rsidP="00707D13">
      <w:pPr>
        <w:spacing w:after="0" w:line="240" w:lineRule="auto"/>
        <w:jc w:val="both"/>
        <w:outlineLvl w:val="1"/>
        <w:rPr>
          <w:rFonts w:ascii="Arial" w:eastAsia="Times New Roman" w:hAnsi="Arial" w:cs="Arial"/>
          <w:b/>
          <w:bCs/>
          <w:color w:val="333333"/>
          <w:kern w:val="0"/>
          <w:sz w:val="36"/>
          <w:szCs w:val="36"/>
          <w:lang w:eastAsia="es-UY"/>
          <w14:ligatures w14:val="none"/>
        </w:rPr>
      </w:pPr>
      <w:r w:rsidRPr="00707D13">
        <w:rPr>
          <w:rFonts w:ascii="Arial" w:eastAsia="Times New Roman" w:hAnsi="Arial" w:cs="Arial"/>
          <w:b/>
          <w:bCs/>
          <w:color w:val="333333"/>
          <w:kern w:val="0"/>
          <w:sz w:val="36"/>
          <w:szCs w:val="36"/>
          <w:lang w:eastAsia="es-UY"/>
          <w14:ligatures w14:val="none"/>
        </w:rPr>
        <w:t>Aquí está el artículo.</w:t>
      </w:r>
    </w:p>
    <w:p w14:paraId="5EAECFA7"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Una investigación sobre el verdadero significado que se debe atribuir a la palabra encarnación es el tema del último libro de </w:t>
      </w:r>
      <w:hyperlink r:id="rId6" w:tgtFrame="_blank" w:history="1">
        <w:r w:rsidRPr="00707D13">
          <w:rPr>
            <w:rFonts w:ascii="Arial" w:eastAsia="Times New Roman" w:hAnsi="Arial" w:cs="Arial"/>
            <w:color w:val="FC6B01"/>
            <w:kern w:val="0"/>
            <w:sz w:val="26"/>
            <w:szCs w:val="26"/>
            <w:u w:val="single"/>
            <w:lang w:eastAsia="es-UY"/>
            <w14:ligatures w14:val="none"/>
          </w:rPr>
          <w:t xml:space="preserve">Stefano </w:t>
        </w:r>
        <w:proofErr w:type="spellStart"/>
        <w:r w:rsidRPr="00707D13">
          <w:rPr>
            <w:rFonts w:ascii="Arial" w:eastAsia="Times New Roman" w:hAnsi="Arial" w:cs="Arial"/>
            <w:color w:val="FC6B01"/>
            <w:kern w:val="0"/>
            <w:sz w:val="26"/>
            <w:szCs w:val="26"/>
            <w:u w:val="single"/>
            <w:lang w:eastAsia="es-UY"/>
            <w14:ligatures w14:val="none"/>
          </w:rPr>
          <w:t>Fenaroli</w:t>
        </w:r>
        <w:proofErr w:type="spellEnd"/>
      </w:hyperlink>
      <w:r w:rsidRPr="00707D13">
        <w:rPr>
          <w:rFonts w:ascii="Arial" w:eastAsia="Times New Roman" w:hAnsi="Arial" w:cs="Arial"/>
          <w:color w:val="333333"/>
          <w:kern w:val="0"/>
          <w:sz w:val="26"/>
          <w:szCs w:val="26"/>
          <w:lang w:eastAsia="es-UY"/>
          <w14:ligatures w14:val="none"/>
        </w:rPr>
        <w:t> , </w:t>
      </w:r>
      <w:proofErr w:type="spellStart"/>
      <w:r w:rsidRPr="00707D13">
        <w:rPr>
          <w:rFonts w:ascii="Arial" w:eastAsia="Times New Roman" w:hAnsi="Arial" w:cs="Arial"/>
          <w:b/>
          <w:bCs/>
          <w:i/>
          <w:iCs/>
          <w:color w:val="333333"/>
          <w:kern w:val="0"/>
          <w:sz w:val="26"/>
          <w:szCs w:val="26"/>
          <w:lang w:eastAsia="es-UY"/>
          <w14:ligatures w14:val="none"/>
        </w:rPr>
        <w:t>Laologia</w:t>
      </w:r>
      <w:proofErr w:type="spellEnd"/>
      <w:r w:rsidRPr="00707D13">
        <w:rPr>
          <w:rFonts w:ascii="Arial" w:eastAsia="Times New Roman" w:hAnsi="Arial" w:cs="Arial"/>
          <w:b/>
          <w:bCs/>
          <w:i/>
          <w:iCs/>
          <w:color w:val="333333"/>
          <w:kern w:val="0"/>
          <w:sz w:val="26"/>
          <w:szCs w:val="26"/>
          <w:lang w:eastAsia="es-UY"/>
          <w14:ligatures w14:val="none"/>
        </w:rPr>
        <w:t xml:space="preserve"> </w:t>
      </w:r>
      <w:proofErr w:type="spellStart"/>
      <w:r w:rsidRPr="00707D13">
        <w:rPr>
          <w:rFonts w:ascii="Arial" w:eastAsia="Times New Roman" w:hAnsi="Arial" w:cs="Arial"/>
          <w:b/>
          <w:bCs/>
          <w:i/>
          <w:iCs/>
          <w:color w:val="333333"/>
          <w:kern w:val="0"/>
          <w:sz w:val="26"/>
          <w:szCs w:val="26"/>
          <w:lang w:eastAsia="es-UY"/>
          <w14:ligatures w14:val="none"/>
        </w:rPr>
        <w:t>della</w:t>
      </w:r>
      <w:proofErr w:type="spellEnd"/>
      <w:r w:rsidRPr="00707D13">
        <w:rPr>
          <w:rFonts w:ascii="Arial" w:eastAsia="Times New Roman" w:hAnsi="Arial" w:cs="Arial"/>
          <w:b/>
          <w:bCs/>
          <w:i/>
          <w:iCs/>
          <w:color w:val="333333"/>
          <w:kern w:val="0"/>
          <w:sz w:val="26"/>
          <w:szCs w:val="26"/>
          <w:lang w:eastAsia="es-UY"/>
          <w14:ligatures w14:val="none"/>
        </w:rPr>
        <w:t xml:space="preserve"> </w:t>
      </w:r>
      <w:proofErr w:type="spellStart"/>
      <w:r w:rsidRPr="00707D13">
        <w:rPr>
          <w:rFonts w:ascii="Arial" w:eastAsia="Times New Roman" w:hAnsi="Arial" w:cs="Arial"/>
          <w:b/>
          <w:bCs/>
          <w:i/>
          <w:iCs/>
          <w:color w:val="333333"/>
          <w:kern w:val="0"/>
          <w:sz w:val="26"/>
          <w:szCs w:val="26"/>
          <w:lang w:eastAsia="es-UY"/>
          <w14:ligatures w14:val="none"/>
        </w:rPr>
        <w:t>deep</w:t>
      </w:r>
      <w:proofErr w:type="spellEnd"/>
      <w:r w:rsidRPr="00707D13">
        <w:rPr>
          <w:rFonts w:ascii="Arial" w:eastAsia="Times New Roman" w:hAnsi="Arial" w:cs="Arial"/>
          <w:b/>
          <w:bCs/>
          <w:i/>
          <w:iCs/>
          <w:color w:val="333333"/>
          <w:kern w:val="0"/>
          <w:sz w:val="26"/>
          <w:szCs w:val="26"/>
          <w:lang w:eastAsia="es-UY"/>
          <w14:ligatures w14:val="none"/>
        </w:rPr>
        <w:t xml:space="preserve"> </w:t>
      </w:r>
      <w:proofErr w:type="spellStart"/>
      <w:r w:rsidRPr="00707D13">
        <w:rPr>
          <w:rFonts w:ascii="Arial" w:eastAsia="Times New Roman" w:hAnsi="Arial" w:cs="Arial"/>
          <w:b/>
          <w:bCs/>
          <w:i/>
          <w:iCs/>
          <w:color w:val="333333"/>
          <w:kern w:val="0"/>
          <w:sz w:val="26"/>
          <w:szCs w:val="26"/>
          <w:lang w:eastAsia="es-UY"/>
          <w14:ligatures w14:val="none"/>
        </w:rPr>
        <w:t>encarnation</w:t>
      </w:r>
      <w:proofErr w:type="spellEnd"/>
      <w:r w:rsidRPr="00707D13">
        <w:rPr>
          <w:rFonts w:ascii="Arial" w:eastAsia="Times New Roman" w:hAnsi="Arial" w:cs="Arial"/>
          <w:color w:val="333333"/>
          <w:kern w:val="0"/>
          <w:sz w:val="26"/>
          <w:szCs w:val="26"/>
          <w:lang w:eastAsia="es-UY"/>
          <w14:ligatures w14:val="none"/>
        </w:rPr>
        <w:t> [La teología de la encarnación profunda]. Investiga, en particular, el vínculo entre creación y cristología a la luz de una rama teológica reciente: la de </w:t>
      </w:r>
      <w:r w:rsidRPr="00707D13">
        <w:rPr>
          <w:rFonts w:ascii="Arial" w:eastAsia="Times New Roman" w:hAnsi="Arial" w:cs="Arial"/>
          <w:i/>
          <w:iCs/>
          <w:color w:val="333333"/>
          <w:kern w:val="0"/>
          <w:sz w:val="26"/>
          <w:szCs w:val="26"/>
          <w:lang w:eastAsia="es-UY"/>
          <w14:ligatures w14:val="none"/>
        </w:rPr>
        <w:t>la encarnación</w:t>
      </w:r>
      <w:r w:rsidRPr="00707D13">
        <w:rPr>
          <w:rFonts w:ascii="Arial" w:eastAsia="Times New Roman" w:hAnsi="Arial" w:cs="Arial"/>
          <w:color w:val="333333"/>
          <w:kern w:val="0"/>
          <w:sz w:val="26"/>
          <w:szCs w:val="26"/>
          <w:lang w:eastAsia="es-UY"/>
          <w14:ligatures w14:val="none"/>
        </w:rPr>
        <w:t> profunda .</w:t>
      </w:r>
    </w:p>
    <w:p w14:paraId="34823126"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73612CAE"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Como ya se destacó en el prefacio, esta línea del pensamiento cristiano más reciente no debe considerarse uno de los muchos apéndices de </w:t>
      </w:r>
      <w:hyperlink r:id="rId7" w:tgtFrame="_blank" w:history="1">
        <w:r w:rsidRPr="00707D13">
          <w:rPr>
            <w:rFonts w:ascii="Arial" w:eastAsia="Times New Roman" w:hAnsi="Arial" w:cs="Arial"/>
            <w:color w:val="FC6B01"/>
            <w:kern w:val="0"/>
            <w:sz w:val="26"/>
            <w:szCs w:val="26"/>
            <w:u w:val="single"/>
            <w:lang w:eastAsia="es-UY"/>
            <w14:ligatures w14:val="none"/>
          </w:rPr>
          <w:t>la ciencia bíblica</w:t>
        </w:r>
      </w:hyperlink>
      <w:r w:rsidRPr="00707D13">
        <w:rPr>
          <w:rFonts w:ascii="Arial" w:eastAsia="Times New Roman" w:hAnsi="Arial" w:cs="Arial"/>
          <w:color w:val="333333"/>
          <w:kern w:val="0"/>
          <w:sz w:val="26"/>
          <w:szCs w:val="26"/>
          <w:lang w:eastAsia="es-UY"/>
          <w14:ligatures w14:val="none"/>
        </w:rPr>
        <w:t> , sino un camino genuinamente nuevo para la teología. En otras palabras, lejos de ser una nueva flexibilización de la sistemática que se suma a otras innumerables, es una nueva forma de ver y abordar los principales misterios cristianos, como la </w:t>
      </w:r>
      <w:r w:rsidRPr="00707D13">
        <w:rPr>
          <w:rFonts w:ascii="Arial" w:eastAsia="Times New Roman" w:hAnsi="Arial" w:cs="Arial"/>
          <w:b/>
          <w:bCs/>
          <w:color w:val="333333"/>
          <w:kern w:val="0"/>
          <w:sz w:val="26"/>
          <w:szCs w:val="26"/>
          <w:lang w:eastAsia="es-UY"/>
          <w14:ligatures w14:val="none"/>
        </w:rPr>
        <w:t>ontología de Cristo</w:t>
      </w:r>
      <w:r w:rsidRPr="00707D13">
        <w:rPr>
          <w:rFonts w:ascii="Arial" w:eastAsia="Times New Roman" w:hAnsi="Arial" w:cs="Arial"/>
          <w:color w:val="333333"/>
          <w:kern w:val="0"/>
          <w:sz w:val="26"/>
          <w:szCs w:val="26"/>
          <w:lang w:eastAsia="es-UY"/>
          <w14:ligatures w14:val="none"/>
        </w:rPr>
        <w:t> , la naturaleza de la creación, la causa de la encarnación. y la realidad del mal.</w:t>
      </w:r>
    </w:p>
    <w:p w14:paraId="71FC0871"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El ensayo, resultado de un trabajo doctoral realizado en la </w:t>
      </w:r>
      <w:r w:rsidRPr="00707D13">
        <w:rPr>
          <w:rFonts w:ascii="Arial" w:eastAsia="Times New Roman" w:hAnsi="Arial" w:cs="Arial"/>
          <w:b/>
          <w:bCs/>
          <w:color w:val="333333"/>
          <w:kern w:val="0"/>
          <w:sz w:val="26"/>
          <w:szCs w:val="26"/>
          <w:lang w:eastAsia="es-UY"/>
          <w14:ligatures w14:val="none"/>
        </w:rPr>
        <w:t>Facultad de Teología del Norte de Italia</w:t>
      </w:r>
      <w:r w:rsidRPr="00707D13">
        <w:rPr>
          <w:rFonts w:ascii="Arial" w:eastAsia="Times New Roman" w:hAnsi="Arial" w:cs="Arial"/>
          <w:color w:val="333333"/>
          <w:kern w:val="0"/>
          <w:sz w:val="26"/>
          <w:szCs w:val="26"/>
          <w:lang w:eastAsia="es-UY"/>
          <w14:ligatures w14:val="none"/>
        </w:rPr>
        <w:t> , inaugura una nueva serie de </w:t>
      </w:r>
      <w:r w:rsidRPr="00707D13">
        <w:rPr>
          <w:rFonts w:ascii="Arial" w:eastAsia="Times New Roman" w:hAnsi="Arial" w:cs="Arial"/>
          <w:b/>
          <w:bCs/>
          <w:color w:val="333333"/>
          <w:kern w:val="0"/>
          <w:sz w:val="26"/>
          <w:szCs w:val="26"/>
          <w:lang w:eastAsia="es-UY"/>
          <w14:ligatures w14:val="none"/>
        </w:rPr>
        <w:t xml:space="preserve">la Editora </w:t>
      </w:r>
      <w:proofErr w:type="spellStart"/>
      <w:r w:rsidRPr="00707D13">
        <w:rPr>
          <w:rFonts w:ascii="Arial" w:eastAsia="Times New Roman" w:hAnsi="Arial" w:cs="Arial"/>
          <w:b/>
          <w:bCs/>
          <w:color w:val="333333"/>
          <w:kern w:val="0"/>
          <w:sz w:val="26"/>
          <w:szCs w:val="26"/>
          <w:lang w:eastAsia="es-UY"/>
          <w14:ligatures w14:val="none"/>
        </w:rPr>
        <w:t>Queriniana</w:t>
      </w:r>
      <w:proofErr w:type="spellEnd"/>
      <w:r w:rsidRPr="00707D13">
        <w:rPr>
          <w:rFonts w:ascii="Arial" w:eastAsia="Times New Roman" w:hAnsi="Arial" w:cs="Arial"/>
          <w:color w:val="333333"/>
          <w:kern w:val="0"/>
          <w:sz w:val="26"/>
          <w:szCs w:val="26"/>
          <w:lang w:eastAsia="es-UY"/>
          <w14:ligatures w14:val="none"/>
        </w:rPr>
        <w:t xml:space="preserve"> titulada “Biblioteca </w:t>
      </w:r>
      <w:proofErr w:type="spellStart"/>
      <w:r w:rsidRPr="00707D13">
        <w:rPr>
          <w:rFonts w:ascii="Arial" w:eastAsia="Times New Roman" w:hAnsi="Arial" w:cs="Arial"/>
          <w:color w:val="333333"/>
          <w:kern w:val="0"/>
          <w:sz w:val="26"/>
          <w:szCs w:val="26"/>
          <w:lang w:eastAsia="es-UY"/>
          <w14:ligatures w14:val="none"/>
        </w:rPr>
        <w:t>Accademica</w:t>
      </w:r>
      <w:proofErr w:type="spellEnd"/>
      <w:r w:rsidRPr="00707D13">
        <w:rPr>
          <w:rFonts w:ascii="Arial" w:eastAsia="Times New Roman" w:hAnsi="Arial" w:cs="Arial"/>
          <w:color w:val="333333"/>
          <w:kern w:val="0"/>
          <w:sz w:val="26"/>
          <w:szCs w:val="26"/>
          <w:lang w:eastAsia="es-UY"/>
          <w14:ligatures w14:val="none"/>
        </w:rPr>
        <w:t>”, dedicada expresamente a las tesis doctorales.</w:t>
      </w:r>
    </w:p>
    <w:p w14:paraId="6CDCD35B" w14:textId="77777777" w:rsidR="00707D13" w:rsidRPr="00707D13" w:rsidRDefault="00707D13" w:rsidP="00707D13">
      <w:pPr>
        <w:spacing w:after="0" w:line="240" w:lineRule="auto"/>
        <w:jc w:val="center"/>
        <w:rPr>
          <w:rFonts w:ascii="Arial" w:eastAsia="Times New Roman" w:hAnsi="Arial" w:cs="Arial"/>
          <w:color w:val="333333"/>
          <w:kern w:val="0"/>
          <w:sz w:val="26"/>
          <w:szCs w:val="26"/>
          <w:lang w:eastAsia="es-UY"/>
          <w14:ligatures w14:val="none"/>
        </w:rPr>
      </w:pPr>
      <w:r w:rsidRPr="00707D13">
        <w:rPr>
          <w:rFonts w:ascii="Arial" w:eastAsia="Times New Roman" w:hAnsi="Arial" w:cs="Arial"/>
          <w:noProof/>
          <w:color w:val="333333"/>
          <w:kern w:val="0"/>
          <w:sz w:val="26"/>
          <w:szCs w:val="26"/>
          <w:lang w:eastAsia="es-UY"/>
          <w14:ligatures w14:val="none"/>
        </w:rPr>
        <w:drawing>
          <wp:inline distT="0" distB="0" distL="0" distR="0" wp14:anchorId="49461500" wp14:editId="1A4AB900">
            <wp:extent cx="2451100" cy="1531938"/>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6632" cy="1535396"/>
                    </a:xfrm>
                    <a:prstGeom prst="rect">
                      <a:avLst/>
                    </a:prstGeom>
                    <a:noFill/>
                    <a:ln>
                      <a:noFill/>
                    </a:ln>
                  </pic:spPr>
                </pic:pic>
              </a:graphicData>
            </a:graphic>
          </wp:inline>
        </w:drawing>
      </w:r>
    </w:p>
    <w:p w14:paraId="6EA53115" w14:textId="77777777" w:rsidR="00707D13" w:rsidRPr="00707D13" w:rsidRDefault="00707D13" w:rsidP="00707D13">
      <w:pPr>
        <w:spacing w:after="0" w:line="240" w:lineRule="auto"/>
        <w:jc w:val="center"/>
        <w:rPr>
          <w:rFonts w:ascii="Arial" w:eastAsia="Times New Roman" w:hAnsi="Arial" w:cs="Arial"/>
          <w:color w:val="333333"/>
          <w:kern w:val="0"/>
          <w:sz w:val="18"/>
          <w:szCs w:val="18"/>
          <w:lang w:eastAsia="es-UY"/>
          <w14:ligatures w14:val="none"/>
        </w:rPr>
      </w:pPr>
      <w:r w:rsidRPr="00707D13">
        <w:rPr>
          <w:rFonts w:ascii="Arial" w:eastAsia="Times New Roman" w:hAnsi="Arial" w:cs="Arial"/>
          <w:color w:val="333333"/>
          <w:kern w:val="0"/>
          <w:sz w:val="18"/>
          <w:szCs w:val="18"/>
          <w:lang w:eastAsia="es-UY"/>
          <w14:ligatures w14:val="none"/>
        </w:rPr>
        <w:t>Libro " </w:t>
      </w:r>
      <w:r w:rsidRPr="00707D13">
        <w:rPr>
          <w:rFonts w:ascii="Arial" w:eastAsia="Times New Roman" w:hAnsi="Arial" w:cs="Arial"/>
          <w:b/>
          <w:bCs/>
          <w:color w:val="333333"/>
          <w:kern w:val="0"/>
          <w:sz w:val="18"/>
          <w:szCs w:val="18"/>
          <w:lang w:eastAsia="es-UY"/>
          <w14:ligatures w14:val="none"/>
        </w:rPr>
        <w:t>Teología de la encarnación profunda</w:t>
      </w:r>
      <w:r w:rsidRPr="00707D13">
        <w:rPr>
          <w:rFonts w:ascii="Arial" w:eastAsia="Times New Roman" w:hAnsi="Arial" w:cs="Arial"/>
          <w:color w:val="333333"/>
          <w:kern w:val="0"/>
          <w:sz w:val="18"/>
          <w:szCs w:val="18"/>
          <w:lang w:eastAsia="es-UY"/>
          <w14:ligatures w14:val="none"/>
        </w:rPr>
        <w:t> " de </w:t>
      </w:r>
      <w:r w:rsidRPr="00707D13">
        <w:rPr>
          <w:rFonts w:ascii="Arial" w:eastAsia="Times New Roman" w:hAnsi="Arial" w:cs="Arial"/>
          <w:b/>
          <w:bCs/>
          <w:color w:val="333333"/>
          <w:kern w:val="0"/>
          <w:sz w:val="18"/>
          <w:szCs w:val="18"/>
          <w:lang w:eastAsia="es-UY"/>
          <w14:ligatures w14:val="none"/>
        </w:rPr>
        <w:t xml:space="preserve">Stefano </w:t>
      </w:r>
      <w:proofErr w:type="spellStart"/>
      <w:r w:rsidRPr="00707D13">
        <w:rPr>
          <w:rFonts w:ascii="Arial" w:eastAsia="Times New Roman" w:hAnsi="Arial" w:cs="Arial"/>
          <w:b/>
          <w:bCs/>
          <w:color w:val="333333"/>
          <w:kern w:val="0"/>
          <w:sz w:val="18"/>
          <w:szCs w:val="18"/>
          <w:lang w:eastAsia="es-UY"/>
          <w14:ligatures w14:val="none"/>
        </w:rPr>
        <w:t>Fenaroli</w:t>
      </w:r>
      <w:proofErr w:type="spellEnd"/>
    </w:p>
    <w:p w14:paraId="5258E98A" w14:textId="77777777" w:rsidR="00707D13" w:rsidRPr="00707D13" w:rsidRDefault="00707D13" w:rsidP="00707D13">
      <w:pPr>
        <w:spacing w:after="0" w:line="240" w:lineRule="auto"/>
        <w:jc w:val="both"/>
        <w:outlineLvl w:val="1"/>
        <w:rPr>
          <w:rFonts w:ascii="Arial" w:eastAsia="Times New Roman" w:hAnsi="Arial" w:cs="Arial"/>
          <w:b/>
          <w:bCs/>
          <w:color w:val="333333"/>
          <w:kern w:val="0"/>
          <w:sz w:val="36"/>
          <w:szCs w:val="36"/>
          <w:lang w:eastAsia="es-UY"/>
          <w14:ligatures w14:val="none"/>
        </w:rPr>
      </w:pPr>
      <w:r w:rsidRPr="00707D13">
        <w:rPr>
          <w:rFonts w:ascii="Arial" w:eastAsia="Times New Roman" w:hAnsi="Arial" w:cs="Arial"/>
          <w:b/>
          <w:bCs/>
          <w:color w:val="333333"/>
          <w:kern w:val="0"/>
          <w:sz w:val="36"/>
          <w:szCs w:val="36"/>
          <w:lang w:eastAsia="es-UY"/>
          <w14:ligatures w14:val="none"/>
        </w:rPr>
        <w:lastRenderedPageBreak/>
        <w:t>Un debut apreciable</w:t>
      </w:r>
    </w:p>
    <w:p w14:paraId="3804372A"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La investigación realizada es ciertamente digna de reconocimiento, también porque compensa un retraso culpable y llena un vacío en el panorama teológico italiano, cuya encarnación profunda es aún poco conocida, aunque </w:t>
      </w:r>
      <w:proofErr w:type="spellStart"/>
      <w:r w:rsidRPr="00707D13">
        <w:rPr>
          <w:rFonts w:ascii="Arial" w:eastAsia="Times New Roman" w:hAnsi="Arial" w:cs="Arial"/>
          <w:b/>
          <w:bCs/>
          <w:color w:val="333333"/>
          <w:kern w:val="0"/>
          <w:sz w:val="26"/>
          <w:szCs w:val="26"/>
          <w:lang w:eastAsia="es-UY"/>
          <w14:ligatures w14:val="none"/>
        </w:rPr>
        <w:t>Queriniana</w:t>
      </w:r>
      <w:proofErr w:type="spellEnd"/>
      <w:r w:rsidRPr="00707D13">
        <w:rPr>
          <w:rFonts w:ascii="Arial" w:eastAsia="Times New Roman" w:hAnsi="Arial" w:cs="Arial"/>
          <w:color w:val="333333"/>
          <w:kern w:val="0"/>
          <w:sz w:val="26"/>
          <w:szCs w:val="26"/>
          <w:lang w:eastAsia="es-UY"/>
          <w14:ligatures w14:val="none"/>
        </w:rPr>
        <w:t> haya traducido y publicado varios libros sobre el tema. El principal mérito de la presente obra, por tanto, es ofrecer al público de habla italiana, por primera vez, una presentación orgánica, completa y sistemática de la </w:t>
      </w:r>
      <w:hyperlink r:id="rId9" w:tgtFrame="_blank" w:history="1">
        <w:r w:rsidRPr="00707D13">
          <w:rPr>
            <w:rFonts w:ascii="Arial" w:eastAsia="Times New Roman" w:hAnsi="Arial" w:cs="Arial"/>
            <w:color w:val="FC6B01"/>
            <w:kern w:val="0"/>
            <w:sz w:val="26"/>
            <w:szCs w:val="26"/>
            <w:u w:val="single"/>
            <w:lang w:eastAsia="es-UY"/>
            <w14:ligatures w14:val="none"/>
          </w:rPr>
          <w:t>teología de la encarnación profunda</w:t>
        </w:r>
      </w:hyperlink>
      <w:r w:rsidRPr="00707D13">
        <w:rPr>
          <w:rFonts w:ascii="Arial" w:eastAsia="Times New Roman" w:hAnsi="Arial" w:cs="Arial"/>
          <w:color w:val="333333"/>
          <w:kern w:val="0"/>
          <w:sz w:val="26"/>
          <w:szCs w:val="26"/>
          <w:lang w:eastAsia="es-UY"/>
          <w14:ligatures w14:val="none"/>
        </w:rPr>
        <w:t> y de sus principales intérpretes.</w:t>
      </w:r>
    </w:p>
    <w:p w14:paraId="5283FB8D"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14C50C8B"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 xml:space="preserve">Otro mérito de la publicación, si bien trae consigo inevitablemente la laboriosidad y forja de pensamiento que siempre acompañan a las investigaciones </w:t>
      </w:r>
      <w:proofErr w:type="gramStart"/>
      <w:r w:rsidRPr="00707D13">
        <w:rPr>
          <w:rFonts w:ascii="Arial" w:eastAsia="Times New Roman" w:hAnsi="Arial" w:cs="Arial"/>
          <w:color w:val="333333"/>
          <w:kern w:val="0"/>
          <w:sz w:val="26"/>
          <w:szCs w:val="26"/>
          <w:lang w:eastAsia="es-UY"/>
          <w14:ligatures w14:val="none"/>
        </w:rPr>
        <w:t>doctorales,</w:t>
      </w:r>
      <w:proofErr w:type="gramEnd"/>
      <w:r w:rsidRPr="00707D13">
        <w:rPr>
          <w:rFonts w:ascii="Arial" w:eastAsia="Times New Roman" w:hAnsi="Arial" w:cs="Arial"/>
          <w:color w:val="333333"/>
          <w:kern w:val="0"/>
          <w:sz w:val="26"/>
          <w:szCs w:val="26"/>
          <w:lang w:eastAsia="es-UY"/>
          <w14:ligatures w14:val="none"/>
        </w:rPr>
        <w:t xml:space="preserve"> es que no resulta engorrosa, estando escrita con fluidez y con intención de ser comprensible. No son pocas sus páginas, por lo que, en lugar de cansar la lectura, brindan la oportunidad de profundizar en los temas analizados.</w:t>
      </w:r>
    </w:p>
    <w:p w14:paraId="02DD1F5D"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667EF282"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Además, el libro, al profundizar en la encarnación profunda, confronta y critica el tradicionalismo cristológico que, en nombre de la conservación del valor de la Tradición, permanece anclado únicamente en el esquema calcedonio. Sin embargo, en virtud de su comprensión “profunda” de la encarnación, el ensayo no sólo confronta la figura de Cristo, sino también varias cuestiones que giran en torno a la cosmología, especialmente la naturaleza del mundo y la física y la biología contemporáneas, en una perspectiva básica. </w:t>
      </w:r>
      <w:r w:rsidRPr="00707D13">
        <w:rPr>
          <w:rFonts w:ascii="Arial" w:eastAsia="Times New Roman" w:hAnsi="Arial" w:cs="Arial"/>
          <w:b/>
          <w:bCs/>
          <w:color w:val="333333"/>
          <w:kern w:val="0"/>
          <w:sz w:val="26"/>
          <w:szCs w:val="26"/>
          <w:lang w:eastAsia="es-UY"/>
          <w14:ligatures w14:val="none"/>
        </w:rPr>
        <w:t>El Papa Francisco</w:t>
      </w:r>
      <w:r w:rsidRPr="00707D13">
        <w:rPr>
          <w:rFonts w:ascii="Arial" w:eastAsia="Times New Roman" w:hAnsi="Arial" w:cs="Arial"/>
          <w:color w:val="333333"/>
          <w:kern w:val="0"/>
          <w:sz w:val="26"/>
          <w:szCs w:val="26"/>
          <w:lang w:eastAsia="es-UY"/>
          <w14:ligatures w14:val="none"/>
        </w:rPr>
        <w:t> lo llamaría “ </w:t>
      </w:r>
      <w:hyperlink r:id="rId10" w:tgtFrame="_blank" w:history="1">
        <w:r w:rsidRPr="00707D13">
          <w:rPr>
            <w:rFonts w:ascii="Arial" w:eastAsia="Times New Roman" w:hAnsi="Arial" w:cs="Arial"/>
            <w:color w:val="FC6B01"/>
            <w:kern w:val="0"/>
            <w:sz w:val="26"/>
            <w:szCs w:val="26"/>
            <w:u w:val="single"/>
            <w:lang w:eastAsia="es-UY"/>
            <w14:ligatures w14:val="none"/>
          </w:rPr>
          <w:t>desarrollo de la doctrina</w:t>
        </w:r>
      </w:hyperlink>
      <w:r w:rsidRPr="00707D13">
        <w:rPr>
          <w:rFonts w:ascii="Arial" w:eastAsia="Times New Roman" w:hAnsi="Arial" w:cs="Arial"/>
          <w:color w:val="333333"/>
          <w:kern w:val="0"/>
          <w:sz w:val="26"/>
          <w:szCs w:val="26"/>
          <w:lang w:eastAsia="es-UY"/>
          <w14:ligatures w14:val="none"/>
        </w:rPr>
        <w:t> ”.</w:t>
      </w:r>
    </w:p>
    <w:p w14:paraId="0A1FD6E1"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2F2A400A"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La estructura del libro se divide en dos partes: una primera en la que se presenta la Encarnación Profunda y sus temas básicos, y una segunda en diálogo con la teología de </w:t>
      </w:r>
      <w:hyperlink r:id="rId11" w:tgtFrame="_blank" w:history="1">
        <w:r w:rsidRPr="00707D13">
          <w:rPr>
            <w:rFonts w:ascii="Arial" w:eastAsia="Times New Roman" w:hAnsi="Arial" w:cs="Arial"/>
            <w:color w:val="FC6B01"/>
            <w:kern w:val="0"/>
            <w:sz w:val="26"/>
            <w:szCs w:val="26"/>
            <w:u w:val="single"/>
            <w:lang w:eastAsia="es-UY"/>
            <w14:ligatures w14:val="none"/>
          </w:rPr>
          <w:t xml:space="preserve">Paolo </w:t>
        </w:r>
        <w:proofErr w:type="spellStart"/>
        <w:r w:rsidRPr="00707D13">
          <w:rPr>
            <w:rFonts w:ascii="Arial" w:eastAsia="Times New Roman" w:hAnsi="Arial" w:cs="Arial"/>
            <w:color w:val="FC6B01"/>
            <w:kern w:val="0"/>
            <w:sz w:val="26"/>
            <w:szCs w:val="26"/>
            <w:u w:val="single"/>
            <w:lang w:eastAsia="es-UY"/>
            <w14:ligatures w14:val="none"/>
          </w:rPr>
          <w:t>Gamberini</w:t>
        </w:r>
        <w:proofErr w:type="spellEnd"/>
      </w:hyperlink>
      <w:r w:rsidRPr="00707D13">
        <w:rPr>
          <w:rFonts w:ascii="Arial" w:eastAsia="Times New Roman" w:hAnsi="Arial" w:cs="Arial"/>
          <w:color w:val="333333"/>
          <w:kern w:val="0"/>
          <w:sz w:val="26"/>
          <w:szCs w:val="26"/>
          <w:lang w:eastAsia="es-UY"/>
          <w14:ligatures w14:val="none"/>
        </w:rPr>
        <w:t> . Sin embargo, aunque dividido en dos secciones, el ensayo en realidad aborda tres áreas temáticas diferentes: una presentación sistemática de los principales autores de la teología de la encarnación profunda; un diálogo crítico con el monismo relacional de </w:t>
      </w:r>
      <w:proofErr w:type="spellStart"/>
      <w:r w:rsidRPr="00707D13">
        <w:rPr>
          <w:rFonts w:ascii="Arial" w:eastAsia="Times New Roman" w:hAnsi="Arial" w:cs="Arial"/>
          <w:b/>
          <w:bCs/>
          <w:color w:val="333333"/>
          <w:kern w:val="0"/>
          <w:sz w:val="26"/>
          <w:szCs w:val="26"/>
          <w:lang w:eastAsia="es-UY"/>
          <w14:ligatures w14:val="none"/>
        </w:rPr>
        <w:t>Gamberini</w:t>
      </w:r>
      <w:proofErr w:type="spellEnd"/>
      <w:r w:rsidRPr="00707D13">
        <w:rPr>
          <w:rFonts w:ascii="Arial" w:eastAsia="Times New Roman" w:hAnsi="Arial" w:cs="Arial"/>
          <w:color w:val="333333"/>
          <w:kern w:val="0"/>
          <w:sz w:val="26"/>
          <w:szCs w:val="26"/>
          <w:lang w:eastAsia="es-UY"/>
          <w14:ligatures w14:val="none"/>
        </w:rPr>
        <w:t> ; y una nueva versión de encarnación profunda propuesta por el propio </w:t>
      </w:r>
      <w:proofErr w:type="spellStart"/>
      <w:r w:rsidRPr="00707D13">
        <w:rPr>
          <w:rFonts w:ascii="Arial" w:eastAsia="Times New Roman" w:hAnsi="Arial" w:cs="Arial"/>
          <w:b/>
          <w:bCs/>
          <w:color w:val="333333"/>
          <w:kern w:val="0"/>
          <w:sz w:val="26"/>
          <w:szCs w:val="26"/>
          <w:lang w:eastAsia="es-UY"/>
          <w14:ligatures w14:val="none"/>
        </w:rPr>
        <w:t>Fenaroli</w:t>
      </w:r>
      <w:proofErr w:type="spellEnd"/>
      <w:r w:rsidRPr="00707D13">
        <w:rPr>
          <w:rFonts w:ascii="Arial" w:eastAsia="Times New Roman" w:hAnsi="Arial" w:cs="Arial"/>
          <w:color w:val="333333"/>
          <w:kern w:val="0"/>
          <w:sz w:val="26"/>
          <w:szCs w:val="26"/>
          <w:lang w:eastAsia="es-UY"/>
          <w14:ligatures w14:val="none"/>
        </w:rPr>
        <w:t> , que está en la línea de la de los demás autores de la “escuela”.</w:t>
      </w:r>
    </w:p>
    <w:p w14:paraId="7B0AC915"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02E79F2C"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A nivel metodológico, la investigación parece seria y rigurosa, con evidente atención al método genético, como lo sugieren los estudios bíblicos y patrísticos en profundidad. En los capítulos siguientes, sin embargo, el autor también demuestra capacidad de síntesis y de relectura sistemática.</w:t>
      </w:r>
    </w:p>
    <w:p w14:paraId="0AD1FECE"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 xml:space="preserve">Finalmente, el ensayo finaliza con una bibliografía analizada que constituye una herramienta indispensable para todos aquellos que deseen desarrollar en el futuro esta innovadora rama teológica. Se espera, de hecho, que la teología de la encarnación profunda penetre aún más profundamente en el debate contemporáneo y que se abra sobre ella una </w:t>
      </w:r>
      <w:r w:rsidRPr="00707D13">
        <w:rPr>
          <w:rFonts w:ascii="Arial" w:eastAsia="Times New Roman" w:hAnsi="Arial" w:cs="Arial"/>
          <w:color w:val="333333"/>
          <w:kern w:val="0"/>
          <w:sz w:val="26"/>
          <w:szCs w:val="26"/>
          <w:lang w:eastAsia="es-UY"/>
          <w14:ligatures w14:val="none"/>
        </w:rPr>
        <w:lastRenderedPageBreak/>
        <w:t>discusión que sólo puede traer fructíferos impulsos de </w:t>
      </w:r>
      <w:r w:rsidRPr="00707D13">
        <w:rPr>
          <w:rFonts w:ascii="Arial" w:eastAsia="Times New Roman" w:hAnsi="Arial" w:cs="Arial"/>
          <w:b/>
          <w:bCs/>
          <w:color w:val="333333"/>
          <w:kern w:val="0"/>
          <w:sz w:val="26"/>
          <w:szCs w:val="26"/>
          <w:lang w:eastAsia="es-UY"/>
          <w14:ligatures w14:val="none"/>
        </w:rPr>
        <w:t>renovación teológica</w:t>
      </w:r>
      <w:r w:rsidRPr="00707D13">
        <w:rPr>
          <w:rFonts w:ascii="Arial" w:eastAsia="Times New Roman" w:hAnsi="Arial" w:cs="Arial"/>
          <w:color w:val="333333"/>
          <w:kern w:val="0"/>
          <w:sz w:val="26"/>
          <w:szCs w:val="26"/>
          <w:lang w:eastAsia="es-UY"/>
          <w14:ligatures w14:val="none"/>
        </w:rPr>
        <w:t> .</w:t>
      </w:r>
    </w:p>
    <w:p w14:paraId="5E2B98A4"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3528D192" w14:textId="77777777" w:rsidR="00707D13" w:rsidRPr="00707D13" w:rsidRDefault="00707D13" w:rsidP="00707D13">
      <w:pPr>
        <w:spacing w:after="0" w:line="240" w:lineRule="auto"/>
        <w:jc w:val="both"/>
        <w:outlineLvl w:val="1"/>
        <w:rPr>
          <w:rFonts w:ascii="Arial" w:eastAsia="Times New Roman" w:hAnsi="Arial" w:cs="Arial"/>
          <w:b/>
          <w:bCs/>
          <w:color w:val="333333"/>
          <w:kern w:val="0"/>
          <w:sz w:val="36"/>
          <w:szCs w:val="36"/>
          <w:lang w:eastAsia="es-UY"/>
          <w14:ligatures w14:val="none"/>
        </w:rPr>
      </w:pPr>
      <w:r w:rsidRPr="00707D13">
        <w:rPr>
          <w:rFonts w:ascii="Arial" w:eastAsia="Times New Roman" w:hAnsi="Arial" w:cs="Arial"/>
          <w:b/>
          <w:bCs/>
          <w:color w:val="333333"/>
          <w:kern w:val="0"/>
          <w:sz w:val="36"/>
          <w:szCs w:val="36"/>
          <w:lang w:eastAsia="es-UY"/>
          <w14:ligatures w14:val="none"/>
        </w:rPr>
        <w:t>La teología de la encarnación profunda</w:t>
      </w:r>
    </w:p>
    <w:p w14:paraId="79FCA95D"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La expresión </w:t>
      </w:r>
      <w:r w:rsidRPr="00707D13">
        <w:rPr>
          <w:rFonts w:ascii="Arial" w:eastAsia="Times New Roman" w:hAnsi="Arial" w:cs="Arial"/>
          <w:b/>
          <w:bCs/>
          <w:i/>
          <w:iCs/>
          <w:color w:val="333333"/>
          <w:kern w:val="0"/>
          <w:sz w:val="26"/>
          <w:szCs w:val="26"/>
          <w:lang w:eastAsia="es-UY"/>
          <w14:ligatures w14:val="none"/>
        </w:rPr>
        <w:t>encarnación profunda</w:t>
      </w:r>
      <w:r w:rsidRPr="00707D13">
        <w:rPr>
          <w:rFonts w:ascii="Arial" w:eastAsia="Times New Roman" w:hAnsi="Arial" w:cs="Arial"/>
          <w:color w:val="333333"/>
          <w:kern w:val="0"/>
          <w:sz w:val="26"/>
          <w:szCs w:val="26"/>
          <w:lang w:eastAsia="es-UY"/>
          <w14:ligatures w14:val="none"/>
        </w:rPr>
        <w:t> fue acuñada en 2001 por el teólogo danés </w:t>
      </w:r>
      <w:r w:rsidRPr="00707D13">
        <w:rPr>
          <w:rFonts w:ascii="Arial" w:eastAsia="Times New Roman" w:hAnsi="Arial" w:cs="Arial"/>
          <w:b/>
          <w:bCs/>
          <w:color w:val="333333"/>
          <w:kern w:val="0"/>
          <w:sz w:val="26"/>
          <w:szCs w:val="26"/>
          <w:lang w:eastAsia="es-UY"/>
          <w14:ligatures w14:val="none"/>
        </w:rPr>
        <w:t xml:space="preserve">Niels Henrik </w:t>
      </w:r>
      <w:proofErr w:type="spellStart"/>
      <w:r w:rsidRPr="00707D13">
        <w:rPr>
          <w:rFonts w:ascii="Arial" w:eastAsia="Times New Roman" w:hAnsi="Arial" w:cs="Arial"/>
          <w:b/>
          <w:bCs/>
          <w:color w:val="333333"/>
          <w:kern w:val="0"/>
          <w:sz w:val="26"/>
          <w:szCs w:val="26"/>
          <w:lang w:eastAsia="es-UY"/>
          <w14:ligatures w14:val="none"/>
        </w:rPr>
        <w:t>Gregersen</w:t>
      </w:r>
      <w:proofErr w:type="spellEnd"/>
      <w:r w:rsidRPr="00707D13">
        <w:rPr>
          <w:rFonts w:ascii="Arial" w:eastAsia="Times New Roman" w:hAnsi="Arial" w:cs="Arial"/>
          <w:color w:val="333333"/>
          <w:kern w:val="0"/>
          <w:sz w:val="26"/>
          <w:szCs w:val="26"/>
          <w:lang w:eastAsia="es-UY"/>
          <w14:ligatures w14:val="none"/>
        </w:rPr>
        <w:t> , en la línea de la ecología profunda del filósofo noruego </w:t>
      </w:r>
      <w:hyperlink r:id="rId12" w:tgtFrame="_blank" w:history="1">
        <w:r w:rsidRPr="00707D13">
          <w:rPr>
            <w:rFonts w:ascii="Arial" w:eastAsia="Times New Roman" w:hAnsi="Arial" w:cs="Arial"/>
            <w:color w:val="FC6B01"/>
            <w:kern w:val="0"/>
            <w:sz w:val="26"/>
            <w:szCs w:val="26"/>
            <w:u w:val="single"/>
            <w:lang w:eastAsia="es-UY"/>
            <w14:ligatures w14:val="none"/>
          </w:rPr>
          <w:t xml:space="preserve">Arne </w:t>
        </w:r>
        <w:proofErr w:type="spellStart"/>
        <w:r w:rsidRPr="00707D13">
          <w:rPr>
            <w:rFonts w:ascii="Arial" w:eastAsia="Times New Roman" w:hAnsi="Arial" w:cs="Arial"/>
            <w:color w:val="FC6B01"/>
            <w:kern w:val="0"/>
            <w:sz w:val="26"/>
            <w:szCs w:val="26"/>
            <w:u w:val="single"/>
            <w:lang w:eastAsia="es-UY"/>
            <w14:ligatures w14:val="none"/>
          </w:rPr>
          <w:t>Naess</w:t>
        </w:r>
        <w:proofErr w:type="spellEnd"/>
      </w:hyperlink>
      <w:r w:rsidRPr="00707D13">
        <w:rPr>
          <w:rFonts w:ascii="Arial" w:eastAsia="Times New Roman" w:hAnsi="Arial" w:cs="Arial"/>
          <w:color w:val="333333"/>
          <w:kern w:val="0"/>
          <w:sz w:val="26"/>
          <w:szCs w:val="26"/>
          <w:lang w:eastAsia="es-UY"/>
          <w14:ligatures w14:val="none"/>
        </w:rPr>
        <w:t> . Por tanto, esta rama teológica también tiene un trasfondo ecológico que la hace muy actual.</w:t>
      </w:r>
    </w:p>
    <w:p w14:paraId="0CC33224"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6CFA55D9"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Esencialmente, retoma la cuestión del </w:t>
      </w:r>
      <w:proofErr w:type="spellStart"/>
      <w:r w:rsidRPr="00707D13">
        <w:rPr>
          <w:rFonts w:ascii="Arial" w:eastAsia="Times New Roman" w:hAnsi="Arial" w:cs="Arial"/>
          <w:i/>
          <w:iCs/>
          <w:color w:val="333333"/>
          <w:kern w:val="0"/>
          <w:sz w:val="26"/>
          <w:szCs w:val="26"/>
          <w:lang w:eastAsia="es-UY"/>
          <w14:ligatures w14:val="none"/>
        </w:rPr>
        <w:fldChar w:fldCharType="begin"/>
      </w:r>
      <w:r w:rsidRPr="00707D13">
        <w:rPr>
          <w:rFonts w:ascii="Arial" w:eastAsia="Times New Roman" w:hAnsi="Arial" w:cs="Arial"/>
          <w:i/>
          <w:iCs/>
          <w:color w:val="333333"/>
          <w:kern w:val="0"/>
          <w:sz w:val="26"/>
          <w:szCs w:val="26"/>
          <w:lang w:eastAsia="es-UY"/>
          <w14:ligatures w14:val="none"/>
        </w:rPr>
        <w:instrText>HYPERLINK "https://www.ihu.unisinos.br/categorias/188-noticias-2018/577500-criacao-cruz-e-a-misericordia-de-deus-pelo-planeta-o-novo-livro-de-elizabeth-a-johnson" \t "_blank"</w:instrText>
      </w:r>
      <w:r w:rsidRPr="00707D13">
        <w:rPr>
          <w:rFonts w:ascii="Arial" w:eastAsia="Times New Roman" w:hAnsi="Arial" w:cs="Arial"/>
          <w:i/>
          <w:iCs/>
          <w:color w:val="333333"/>
          <w:kern w:val="0"/>
          <w:sz w:val="26"/>
          <w:szCs w:val="26"/>
          <w:lang w:eastAsia="es-UY"/>
          <w14:ligatures w14:val="none"/>
        </w:rPr>
      </w:r>
      <w:r w:rsidRPr="00707D13">
        <w:rPr>
          <w:rFonts w:ascii="Arial" w:eastAsia="Times New Roman" w:hAnsi="Arial" w:cs="Arial"/>
          <w:i/>
          <w:iCs/>
          <w:color w:val="333333"/>
          <w:kern w:val="0"/>
          <w:sz w:val="26"/>
          <w:szCs w:val="26"/>
          <w:lang w:eastAsia="es-UY"/>
          <w14:ligatures w14:val="none"/>
        </w:rPr>
        <w:fldChar w:fldCharType="separate"/>
      </w:r>
      <w:r w:rsidRPr="00707D13">
        <w:rPr>
          <w:rFonts w:ascii="Arial" w:eastAsia="Times New Roman" w:hAnsi="Arial" w:cs="Arial"/>
          <w:i/>
          <w:iCs/>
          <w:color w:val="FC6B01"/>
          <w:kern w:val="0"/>
          <w:sz w:val="26"/>
          <w:szCs w:val="26"/>
          <w:u w:val="single"/>
          <w:lang w:eastAsia="es-UY"/>
          <w14:ligatures w14:val="none"/>
        </w:rPr>
        <w:t>Cur</w:t>
      </w:r>
      <w:proofErr w:type="spellEnd"/>
      <w:r w:rsidRPr="00707D13">
        <w:rPr>
          <w:rFonts w:ascii="Arial" w:eastAsia="Times New Roman" w:hAnsi="Arial" w:cs="Arial"/>
          <w:i/>
          <w:iCs/>
          <w:color w:val="FC6B01"/>
          <w:kern w:val="0"/>
          <w:sz w:val="26"/>
          <w:szCs w:val="26"/>
          <w:u w:val="single"/>
          <w:lang w:eastAsia="es-UY"/>
          <w14:ligatures w14:val="none"/>
        </w:rPr>
        <w:t xml:space="preserve"> Deus homo</w:t>
      </w:r>
      <w:r w:rsidRPr="00707D13">
        <w:rPr>
          <w:rFonts w:ascii="Arial" w:eastAsia="Times New Roman" w:hAnsi="Arial" w:cs="Arial"/>
          <w:i/>
          <w:iCs/>
          <w:color w:val="333333"/>
          <w:kern w:val="0"/>
          <w:sz w:val="26"/>
          <w:szCs w:val="26"/>
          <w:lang w:eastAsia="es-UY"/>
          <w14:ligatures w14:val="none"/>
        </w:rPr>
        <w:fldChar w:fldCharType="end"/>
      </w:r>
      <w:r w:rsidRPr="00707D13">
        <w:rPr>
          <w:rFonts w:ascii="Arial" w:eastAsia="Times New Roman" w:hAnsi="Arial" w:cs="Arial"/>
          <w:color w:val="333333"/>
          <w:kern w:val="0"/>
          <w:sz w:val="26"/>
          <w:szCs w:val="26"/>
          <w:lang w:eastAsia="es-UY"/>
          <w14:ligatures w14:val="none"/>
        </w:rPr>
        <w:t> , aunque desde un punto de vista diferente al de la soteriología tradicional. Así orientada, la teología resulta de una centralidad absoluta en el panorama contemporáneo, porque no expresa un genitivo teológico entre otros, sino una manera de leer a Dios, el cosmos y el ser humano desde un punto de vista inusual: el de la encarnación. Así lo demuestra el hecho de que se cruza con disciplinas tan diversas como </w:t>
      </w:r>
      <w:r w:rsidRPr="00707D13">
        <w:rPr>
          <w:rFonts w:ascii="Arial" w:eastAsia="Times New Roman" w:hAnsi="Arial" w:cs="Arial"/>
          <w:b/>
          <w:bCs/>
          <w:color w:val="333333"/>
          <w:kern w:val="0"/>
          <w:sz w:val="26"/>
          <w:szCs w:val="26"/>
          <w:lang w:eastAsia="es-UY"/>
          <w14:ligatures w14:val="none"/>
        </w:rPr>
        <w:t>la cosmología</w:t>
      </w:r>
      <w:r w:rsidRPr="00707D13">
        <w:rPr>
          <w:rFonts w:ascii="Arial" w:eastAsia="Times New Roman" w:hAnsi="Arial" w:cs="Arial"/>
          <w:color w:val="333333"/>
          <w:kern w:val="0"/>
          <w:sz w:val="26"/>
          <w:szCs w:val="26"/>
          <w:lang w:eastAsia="es-UY"/>
          <w14:ligatures w14:val="none"/>
        </w:rPr>
        <w:t> , </w:t>
      </w:r>
      <w:hyperlink r:id="rId13" w:tgtFrame="_blank" w:history="1">
        <w:r w:rsidRPr="00707D13">
          <w:rPr>
            <w:rFonts w:ascii="Arial" w:eastAsia="Times New Roman" w:hAnsi="Arial" w:cs="Arial"/>
            <w:color w:val="FC6B01"/>
            <w:kern w:val="0"/>
            <w:sz w:val="26"/>
            <w:szCs w:val="26"/>
            <w:u w:val="single"/>
            <w:lang w:eastAsia="es-UY"/>
            <w14:ligatures w14:val="none"/>
          </w:rPr>
          <w:t>la cristología</w:t>
        </w:r>
      </w:hyperlink>
      <w:r w:rsidRPr="00707D13">
        <w:rPr>
          <w:rFonts w:ascii="Arial" w:eastAsia="Times New Roman" w:hAnsi="Arial" w:cs="Arial"/>
          <w:color w:val="333333"/>
          <w:kern w:val="0"/>
          <w:sz w:val="26"/>
          <w:szCs w:val="26"/>
          <w:lang w:eastAsia="es-UY"/>
          <w14:ligatures w14:val="none"/>
        </w:rPr>
        <w:t> , la trinitaria, la fundamental, la soteriología y, por último pero no menos importante, la ecología.</w:t>
      </w:r>
    </w:p>
    <w:p w14:paraId="1220145A"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5ABC4E35"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En el fondo, sin embargo, la encarnación profunda exige repensar dos categorías básicas: la del </w:t>
      </w:r>
      <w:r w:rsidRPr="00707D13">
        <w:rPr>
          <w:rFonts w:ascii="Arial" w:eastAsia="Times New Roman" w:hAnsi="Arial" w:cs="Arial"/>
          <w:i/>
          <w:iCs/>
          <w:color w:val="333333"/>
          <w:kern w:val="0"/>
          <w:sz w:val="26"/>
          <w:szCs w:val="26"/>
          <w:lang w:eastAsia="es-UY"/>
          <w14:ligatures w14:val="none"/>
        </w:rPr>
        <w:t>logos</w:t>
      </w:r>
      <w:r w:rsidRPr="00707D13">
        <w:rPr>
          <w:rFonts w:ascii="Arial" w:eastAsia="Times New Roman" w:hAnsi="Arial" w:cs="Arial"/>
          <w:color w:val="333333"/>
          <w:kern w:val="0"/>
          <w:sz w:val="26"/>
          <w:szCs w:val="26"/>
          <w:lang w:eastAsia="es-UY"/>
          <w14:ligatures w14:val="none"/>
        </w:rPr>
        <w:t> y la del </w:t>
      </w:r>
      <w:proofErr w:type="spellStart"/>
      <w:r w:rsidRPr="00707D13">
        <w:rPr>
          <w:rFonts w:ascii="Arial" w:eastAsia="Times New Roman" w:hAnsi="Arial" w:cs="Arial"/>
          <w:i/>
          <w:iCs/>
          <w:color w:val="333333"/>
          <w:kern w:val="0"/>
          <w:sz w:val="26"/>
          <w:szCs w:val="26"/>
          <w:lang w:eastAsia="es-UY"/>
          <w14:ligatures w14:val="none"/>
        </w:rPr>
        <w:t>sarx</w:t>
      </w:r>
      <w:proofErr w:type="spellEnd"/>
      <w:r w:rsidRPr="00707D13">
        <w:rPr>
          <w:rFonts w:ascii="Arial" w:eastAsia="Times New Roman" w:hAnsi="Arial" w:cs="Arial"/>
          <w:color w:val="333333"/>
          <w:kern w:val="0"/>
          <w:sz w:val="26"/>
          <w:szCs w:val="26"/>
          <w:lang w:eastAsia="es-UY"/>
          <w14:ligatures w14:val="none"/>
        </w:rPr>
        <w:t> , y esto es lo que hace </w:t>
      </w:r>
      <w:proofErr w:type="spellStart"/>
      <w:r w:rsidRPr="00707D13">
        <w:rPr>
          <w:rFonts w:ascii="Arial" w:eastAsia="Times New Roman" w:hAnsi="Arial" w:cs="Arial"/>
          <w:b/>
          <w:bCs/>
          <w:color w:val="333333"/>
          <w:kern w:val="0"/>
          <w:sz w:val="26"/>
          <w:szCs w:val="26"/>
          <w:lang w:eastAsia="es-UY"/>
          <w14:ligatures w14:val="none"/>
        </w:rPr>
        <w:t>Fenaroli</w:t>
      </w:r>
      <w:proofErr w:type="spellEnd"/>
      <w:r w:rsidRPr="00707D13">
        <w:rPr>
          <w:rFonts w:ascii="Arial" w:eastAsia="Times New Roman" w:hAnsi="Arial" w:cs="Arial"/>
          <w:color w:val="333333"/>
          <w:kern w:val="0"/>
          <w:sz w:val="26"/>
          <w:szCs w:val="26"/>
          <w:lang w:eastAsia="es-UY"/>
          <w14:ligatures w14:val="none"/>
        </w:rPr>
        <w:t> con una minuciosa excavación bíblica. El autor, sin embargo, analiza también con igual atención a los escritores patrísticos funcionales a este replanteamiento cristológico y cosmológico general, empezando por </w:t>
      </w:r>
      <w:hyperlink r:id="rId14" w:tgtFrame="_blank" w:history="1">
        <w:r w:rsidRPr="00707D13">
          <w:rPr>
            <w:rFonts w:ascii="Arial" w:eastAsia="Times New Roman" w:hAnsi="Arial" w:cs="Arial"/>
            <w:color w:val="FC6B01"/>
            <w:kern w:val="0"/>
            <w:sz w:val="26"/>
            <w:szCs w:val="26"/>
            <w:u w:val="single"/>
            <w:lang w:eastAsia="es-UY"/>
            <w14:ligatures w14:val="none"/>
          </w:rPr>
          <w:t>Ireneo de Lyon</w:t>
        </w:r>
      </w:hyperlink>
      <w:r w:rsidRPr="00707D13">
        <w:rPr>
          <w:rFonts w:ascii="Arial" w:eastAsia="Times New Roman" w:hAnsi="Arial" w:cs="Arial"/>
          <w:color w:val="333333"/>
          <w:kern w:val="0"/>
          <w:sz w:val="26"/>
          <w:szCs w:val="26"/>
          <w:lang w:eastAsia="es-UY"/>
          <w14:ligatures w14:val="none"/>
        </w:rPr>
        <w:t> , defensor de la realidad de la carne asumida por el Verbo, pero también por </w:t>
      </w:r>
      <w:r w:rsidRPr="00707D13">
        <w:rPr>
          <w:rFonts w:ascii="Arial" w:eastAsia="Times New Roman" w:hAnsi="Arial" w:cs="Arial"/>
          <w:b/>
          <w:bCs/>
          <w:color w:val="333333"/>
          <w:kern w:val="0"/>
          <w:sz w:val="26"/>
          <w:szCs w:val="26"/>
          <w:lang w:eastAsia="es-UY"/>
          <w14:ligatures w14:val="none"/>
        </w:rPr>
        <w:t>Atanasio de Alejandría</w:t>
      </w:r>
      <w:r w:rsidRPr="00707D13">
        <w:rPr>
          <w:rFonts w:ascii="Arial" w:eastAsia="Times New Roman" w:hAnsi="Arial" w:cs="Arial"/>
          <w:color w:val="333333"/>
          <w:kern w:val="0"/>
          <w:sz w:val="26"/>
          <w:szCs w:val="26"/>
          <w:lang w:eastAsia="es-UY"/>
          <w14:ligatures w14:val="none"/>
        </w:rPr>
        <w:t> , </w:t>
      </w:r>
      <w:hyperlink r:id="rId15" w:tgtFrame="_blank" w:history="1">
        <w:r w:rsidRPr="00707D13">
          <w:rPr>
            <w:rFonts w:ascii="Arial" w:eastAsia="Times New Roman" w:hAnsi="Arial" w:cs="Arial"/>
            <w:color w:val="FC6B01"/>
            <w:kern w:val="0"/>
            <w:sz w:val="26"/>
            <w:szCs w:val="26"/>
            <w:u w:val="single"/>
            <w:lang w:eastAsia="es-UY"/>
            <w14:ligatures w14:val="none"/>
          </w:rPr>
          <w:t>Gregorio de Nacianceno</w:t>
        </w:r>
      </w:hyperlink>
      <w:r w:rsidRPr="00707D13">
        <w:rPr>
          <w:rFonts w:ascii="Arial" w:eastAsia="Times New Roman" w:hAnsi="Arial" w:cs="Arial"/>
          <w:color w:val="333333"/>
          <w:kern w:val="0"/>
          <w:sz w:val="26"/>
          <w:szCs w:val="26"/>
          <w:lang w:eastAsia="es-UY"/>
          <w14:ligatures w14:val="none"/>
        </w:rPr>
        <w:t> y </w:t>
      </w:r>
      <w:r w:rsidRPr="00707D13">
        <w:rPr>
          <w:rFonts w:ascii="Arial" w:eastAsia="Times New Roman" w:hAnsi="Arial" w:cs="Arial"/>
          <w:b/>
          <w:bCs/>
          <w:color w:val="333333"/>
          <w:kern w:val="0"/>
          <w:sz w:val="26"/>
          <w:szCs w:val="26"/>
          <w:lang w:eastAsia="es-UY"/>
          <w14:ligatures w14:val="none"/>
        </w:rPr>
        <w:t>Gregorio de Nisa</w:t>
      </w:r>
      <w:r w:rsidRPr="00707D13">
        <w:rPr>
          <w:rFonts w:ascii="Arial" w:eastAsia="Times New Roman" w:hAnsi="Arial" w:cs="Arial"/>
          <w:color w:val="333333"/>
          <w:kern w:val="0"/>
          <w:sz w:val="26"/>
          <w:szCs w:val="26"/>
          <w:lang w:eastAsia="es-UY"/>
          <w14:ligatures w14:val="none"/>
        </w:rPr>
        <w:t> .</w:t>
      </w:r>
    </w:p>
    <w:p w14:paraId="2E7958D6"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05112225"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A partir de esta amplia revisión de los autores patrísticos, el libro articula varias consideraciones sobre el lenguaje de </w:t>
      </w:r>
      <w:r w:rsidRPr="00707D13">
        <w:rPr>
          <w:rFonts w:ascii="Arial" w:eastAsia="Times New Roman" w:hAnsi="Arial" w:cs="Arial"/>
          <w:b/>
          <w:bCs/>
          <w:color w:val="333333"/>
          <w:kern w:val="0"/>
          <w:sz w:val="26"/>
          <w:szCs w:val="26"/>
          <w:lang w:eastAsia="es-UY"/>
          <w14:ligatures w14:val="none"/>
        </w:rPr>
        <w:t>Calcedonia</w:t>
      </w:r>
      <w:r w:rsidRPr="00707D13">
        <w:rPr>
          <w:rFonts w:ascii="Arial" w:eastAsia="Times New Roman" w:hAnsi="Arial" w:cs="Arial"/>
          <w:color w:val="333333"/>
          <w:kern w:val="0"/>
          <w:sz w:val="26"/>
          <w:szCs w:val="26"/>
          <w:lang w:eastAsia="es-UY"/>
          <w14:ligatures w14:val="none"/>
        </w:rPr>
        <w:t> y la tendencia a utilizar, en cristología, la única lente calcedonia, que, según el autor, habría esclerosado </w:t>
      </w:r>
      <w:hyperlink r:id="rId16" w:tgtFrame="_blank" w:history="1">
        <w:r w:rsidRPr="00707D13">
          <w:rPr>
            <w:rFonts w:ascii="Arial" w:eastAsia="Times New Roman" w:hAnsi="Arial" w:cs="Arial"/>
            <w:color w:val="FC6B01"/>
            <w:kern w:val="0"/>
            <w:sz w:val="26"/>
            <w:szCs w:val="26"/>
            <w:u w:val="single"/>
            <w:lang w:eastAsia="es-UY"/>
            <w14:ligatures w14:val="none"/>
          </w:rPr>
          <w:t>la obra teológica</w:t>
        </w:r>
      </w:hyperlink>
      <w:r w:rsidRPr="00707D13">
        <w:rPr>
          <w:rFonts w:ascii="Arial" w:eastAsia="Times New Roman" w:hAnsi="Arial" w:cs="Arial"/>
          <w:color w:val="333333"/>
          <w:kern w:val="0"/>
          <w:sz w:val="26"/>
          <w:szCs w:val="26"/>
          <w:lang w:eastAsia="es-UY"/>
          <w14:ligatures w14:val="none"/>
        </w:rPr>
        <w:t> (cf. 109). . En particular, el riesgo implícito en una cristología demasiado “fosilizada” en el pensamiento calcedonio se identifica en el peligro de caer en una perspectiva metafísica demasiado unívoca.</w:t>
      </w:r>
    </w:p>
    <w:p w14:paraId="5ED430F9"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7D57A594"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 xml:space="preserve">Sin ser una crítica al </w:t>
      </w:r>
      <w:proofErr w:type="spellStart"/>
      <w:r w:rsidRPr="00707D13">
        <w:rPr>
          <w:rFonts w:ascii="Arial" w:eastAsia="Times New Roman" w:hAnsi="Arial" w:cs="Arial"/>
          <w:color w:val="333333"/>
          <w:kern w:val="0"/>
          <w:sz w:val="26"/>
          <w:szCs w:val="26"/>
          <w:lang w:eastAsia="es-UY"/>
          <w14:ligatures w14:val="none"/>
        </w:rPr>
        <w:t>difisismo</w:t>
      </w:r>
      <w:proofErr w:type="spellEnd"/>
      <w:r w:rsidRPr="00707D13">
        <w:rPr>
          <w:rFonts w:ascii="Arial" w:eastAsia="Times New Roman" w:hAnsi="Arial" w:cs="Arial"/>
          <w:color w:val="333333"/>
          <w:kern w:val="0"/>
          <w:sz w:val="26"/>
          <w:szCs w:val="26"/>
          <w:lang w:eastAsia="es-UY"/>
          <w14:ligatures w14:val="none"/>
        </w:rPr>
        <w:t xml:space="preserve">, por tanto, la encarnación profunda se presenta como una forma de repensarlo y de liberar a la cristología del peso de una estructura excesivamente abstracta, formalista y </w:t>
      </w:r>
      <w:proofErr w:type="spellStart"/>
      <w:r w:rsidRPr="00707D13">
        <w:rPr>
          <w:rFonts w:ascii="Arial" w:eastAsia="Times New Roman" w:hAnsi="Arial" w:cs="Arial"/>
          <w:color w:val="333333"/>
          <w:kern w:val="0"/>
          <w:sz w:val="26"/>
          <w:szCs w:val="26"/>
          <w:lang w:eastAsia="es-UY"/>
          <w14:ligatures w14:val="none"/>
        </w:rPr>
        <w:t>ontologizante</w:t>
      </w:r>
      <w:proofErr w:type="spellEnd"/>
      <w:r w:rsidRPr="00707D13">
        <w:rPr>
          <w:rFonts w:ascii="Arial" w:eastAsia="Times New Roman" w:hAnsi="Arial" w:cs="Arial"/>
          <w:color w:val="333333"/>
          <w:kern w:val="0"/>
          <w:sz w:val="26"/>
          <w:szCs w:val="26"/>
          <w:lang w:eastAsia="es-UY"/>
          <w14:ligatures w14:val="none"/>
        </w:rPr>
        <w:t xml:space="preserve"> (cf. 499).</w:t>
      </w:r>
    </w:p>
    <w:p w14:paraId="5EE14443"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26780B30" w14:textId="77777777" w:rsidR="00707D13" w:rsidRPr="00707D13" w:rsidRDefault="00707D13" w:rsidP="00707D13">
      <w:pPr>
        <w:spacing w:after="0" w:line="240" w:lineRule="auto"/>
        <w:jc w:val="both"/>
        <w:outlineLvl w:val="1"/>
        <w:rPr>
          <w:rFonts w:ascii="Arial" w:eastAsia="Times New Roman" w:hAnsi="Arial" w:cs="Arial"/>
          <w:b/>
          <w:bCs/>
          <w:color w:val="333333"/>
          <w:kern w:val="0"/>
          <w:sz w:val="36"/>
          <w:szCs w:val="36"/>
          <w:lang w:eastAsia="es-UY"/>
          <w14:ligatures w14:val="none"/>
        </w:rPr>
      </w:pPr>
      <w:r w:rsidRPr="00707D13">
        <w:rPr>
          <w:rFonts w:ascii="Arial" w:eastAsia="Times New Roman" w:hAnsi="Arial" w:cs="Arial"/>
          <w:b/>
          <w:bCs/>
          <w:color w:val="333333"/>
          <w:kern w:val="0"/>
          <w:sz w:val="36"/>
          <w:szCs w:val="36"/>
          <w:lang w:eastAsia="es-UY"/>
          <w14:ligatures w14:val="none"/>
        </w:rPr>
        <w:t>Dos senderos</w:t>
      </w:r>
    </w:p>
    <w:p w14:paraId="665203FB"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 xml:space="preserve">La investigación teológica dentro de la encarnación profunda sigue dos caminos: el de la “disputa sobre la cristología </w:t>
      </w:r>
      <w:proofErr w:type="spellStart"/>
      <w:r w:rsidRPr="00707D13">
        <w:rPr>
          <w:rFonts w:ascii="Arial" w:eastAsia="Times New Roman" w:hAnsi="Arial" w:cs="Arial"/>
          <w:color w:val="333333"/>
          <w:kern w:val="0"/>
          <w:sz w:val="26"/>
          <w:szCs w:val="26"/>
          <w:lang w:eastAsia="es-UY"/>
          <w14:ligatures w14:val="none"/>
        </w:rPr>
        <w:t>kenótica</w:t>
      </w:r>
      <w:proofErr w:type="spellEnd"/>
      <w:r w:rsidRPr="00707D13">
        <w:rPr>
          <w:rFonts w:ascii="Arial" w:eastAsia="Times New Roman" w:hAnsi="Arial" w:cs="Arial"/>
          <w:color w:val="333333"/>
          <w:kern w:val="0"/>
          <w:sz w:val="26"/>
          <w:szCs w:val="26"/>
          <w:lang w:eastAsia="es-UY"/>
          <w14:ligatures w14:val="none"/>
        </w:rPr>
        <w:t>” y el de la atención actual a la visión “</w:t>
      </w:r>
      <w:proofErr w:type="spellStart"/>
      <w:r w:rsidRPr="00707D13">
        <w:rPr>
          <w:rFonts w:ascii="Arial" w:eastAsia="Times New Roman" w:hAnsi="Arial" w:cs="Arial"/>
          <w:color w:val="333333"/>
          <w:kern w:val="0"/>
          <w:sz w:val="26"/>
          <w:szCs w:val="26"/>
          <w:lang w:eastAsia="es-UY"/>
          <w14:ligatures w14:val="none"/>
        </w:rPr>
        <w:t>panenteísta</w:t>
      </w:r>
      <w:proofErr w:type="spellEnd"/>
      <w:r w:rsidRPr="00707D13">
        <w:rPr>
          <w:rFonts w:ascii="Arial" w:eastAsia="Times New Roman" w:hAnsi="Arial" w:cs="Arial"/>
          <w:color w:val="333333"/>
          <w:kern w:val="0"/>
          <w:sz w:val="26"/>
          <w:szCs w:val="26"/>
          <w:lang w:eastAsia="es-UY"/>
          <w14:ligatures w14:val="none"/>
        </w:rPr>
        <w:t>”.</w:t>
      </w:r>
    </w:p>
    <w:p w14:paraId="736FA253"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lastRenderedPageBreak/>
        <w:t xml:space="preserve">Respecto al primero, se destaca que la </w:t>
      </w:r>
      <w:proofErr w:type="spellStart"/>
      <w:r w:rsidRPr="00707D13">
        <w:rPr>
          <w:rFonts w:ascii="Arial" w:eastAsia="Times New Roman" w:hAnsi="Arial" w:cs="Arial"/>
          <w:color w:val="333333"/>
          <w:kern w:val="0"/>
          <w:sz w:val="26"/>
          <w:szCs w:val="26"/>
          <w:lang w:eastAsia="es-UY"/>
          <w14:ligatures w14:val="none"/>
        </w:rPr>
        <w:t>kénosis</w:t>
      </w:r>
      <w:proofErr w:type="spellEnd"/>
      <w:r w:rsidRPr="00707D13">
        <w:rPr>
          <w:rFonts w:ascii="Arial" w:eastAsia="Times New Roman" w:hAnsi="Arial" w:cs="Arial"/>
          <w:color w:val="333333"/>
          <w:kern w:val="0"/>
          <w:sz w:val="26"/>
          <w:szCs w:val="26"/>
          <w:lang w:eastAsia="es-UY"/>
          <w14:ligatures w14:val="none"/>
        </w:rPr>
        <w:t xml:space="preserve"> obliga a repensar la </w:t>
      </w:r>
      <w:hyperlink r:id="rId17" w:tgtFrame="_blank" w:history="1">
        <w:r w:rsidRPr="00707D13">
          <w:rPr>
            <w:rFonts w:ascii="Arial" w:eastAsia="Times New Roman" w:hAnsi="Arial" w:cs="Arial"/>
            <w:color w:val="FC6B01"/>
            <w:kern w:val="0"/>
            <w:sz w:val="26"/>
            <w:szCs w:val="26"/>
            <w:u w:val="single"/>
            <w:lang w:eastAsia="es-UY"/>
            <w14:ligatures w14:val="none"/>
          </w:rPr>
          <w:t>Trinidad</w:t>
        </w:r>
      </w:hyperlink>
      <w:r w:rsidRPr="00707D13">
        <w:rPr>
          <w:rFonts w:ascii="Arial" w:eastAsia="Times New Roman" w:hAnsi="Arial" w:cs="Arial"/>
          <w:color w:val="333333"/>
          <w:kern w:val="0"/>
          <w:sz w:val="26"/>
          <w:szCs w:val="26"/>
          <w:lang w:eastAsia="es-UY"/>
          <w14:ligatures w14:val="none"/>
        </w:rPr>
        <w:t> . Como señala </w:t>
      </w:r>
      <w:proofErr w:type="spellStart"/>
      <w:r w:rsidRPr="00707D13">
        <w:rPr>
          <w:rFonts w:ascii="Arial" w:eastAsia="Times New Roman" w:hAnsi="Arial" w:cs="Arial"/>
          <w:b/>
          <w:bCs/>
          <w:color w:val="333333"/>
          <w:kern w:val="0"/>
          <w:sz w:val="26"/>
          <w:szCs w:val="26"/>
          <w:lang w:eastAsia="es-UY"/>
          <w14:ligatures w14:val="none"/>
        </w:rPr>
        <w:t>Fenaroli</w:t>
      </w:r>
      <w:proofErr w:type="spellEnd"/>
      <w:r w:rsidRPr="00707D13">
        <w:rPr>
          <w:rFonts w:ascii="Arial" w:eastAsia="Times New Roman" w:hAnsi="Arial" w:cs="Arial"/>
          <w:color w:val="333333"/>
          <w:kern w:val="0"/>
          <w:sz w:val="26"/>
          <w:szCs w:val="26"/>
          <w:lang w:eastAsia="es-UY"/>
          <w14:ligatures w14:val="none"/>
        </w:rPr>
        <w:t xml:space="preserve"> , “son numerosas las críticas a una cristología </w:t>
      </w:r>
      <w:proofErr w:type="spellStart"/>
      <w:r w:rsidRPr="00707D13">
        <w:rPr>
          <w:rFonts w:ascii="Arial" w:eastAsia="Times New Roman" w:hAnsi="Arial" w:cs="Arial"/>
          <w:color w:val="333333"/>
          <w:kern w:val="0"/>
          <w:sz w:val="26"/>
          <w:szCs w:val="26"/>
          <w:lang w:eastAsia="es-UY"/>
          <w14:ligatures w14:val="none"/>
        </w:rPr>
        <w:t>kenótica</w:t>
      </w:r>
      <w:proofErr w:type="spellEnd"/>
      <w:r w:rsidRPr="00707D13">
        <w:rPr>
          <w:rFonts w:ascii="Arial" w:eastAsia="Times New Roman" w:hAnsi="Arial" w:cs="Arial"/>
          <w:color w:val="333333"/>
          <w:kern w:val="0"/>
          <w:sz w:val="26"/>
          <w:szCs w:val="26"/>
          <w:lang w:eastAsia="es-UY"/>
          <w14:ligatures w14:val="none"/>
        </w:rPr>
        <w:t xml:space="preserve"> entendida como autolimitación o vaciamiento de la Palabra, en la medida en que tal perspectiva sería contraria a los dictados de </w:t>
      </w:r>
      <w:r w:rsidRPr="00707D13">
        <w:rPr>
          <w:rFonts w:ascii="Arial" w:eastAsia="Times New Roman" w:hAnsi="Arial" w:cs="Arial"/>
          <w:b/>
          <w:bCs/>
          <w:color w:val="333333"/>
          <w:kern w:val="0"/>
          <w:sz w:val="26"/>
          <w:szCs w:val="26"/>
          <w:lang w:eastAsia="es-UY"/>
          <w14:ligatures w14:val="none"/>
        </w:rPr>
        <w:t>Calcedonia</w:t>
      </w:r>
      <w:r w:rsidRPr="00707D13">
        <w:rPr>
          <w:rFonts w:ascii="Arial" w:eastAsia="Times New Roman" w:hAnsi="Arial" w:cs="Arial"/>
          <w:color w:val="333333"/>
          <w:kern w:val="0"/>
          <w:sz w:val="26"/>
          <w:szCs w:val="26"/>
          <w:lang w:eastAsia="es-UY"/>
          <w14:ligatures w14:val="none"/>
        </w:rPr>
        <w:t> , o colocaría demasiado mucho énfasis en la preexistencia de Cristo como persona de la Trinidad, que renuncia a sus propias prerrogativas divinas para encarnarse, dejando así en un segundo plano su verdadera humanidad” (209).</w:t>
      </w:r>
    </w:p>
    <w:p w14:paraId="0877117A"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1CB34ACF"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 xml:space="preserve">Respecto al segundo camino, la cuestión básica parece ser “la alternativa entre un </w:t>
      </w:r>
      <w:proofErr w:type="spellStart"/>
      <w:r w:rsidRPr="00707D13">
        <w:rPr>
          <w:rFonts w:ascii="Arial" w:eastAsia="Times New Roman" w:hAnsi="Arial" w:cs="Arial"/>
          <w:color w:val="333333"/>
          <w:kern w:val="0"/>
          <w:sz w:val="26"/>
          <w:szCs w:val="26"/>
          <w:lang w:eastAsia="es-UY"/>
          <w14:ligatures w14:val="none"/>
        </w:rPr>
        <w:t>compatibilismo</w:t>
      </w:r>
      <w:proofErr w:type="spellEnd"/>
      <w:r w:rsidRPr="00707D13">
        <w:rPr>
          <w:rFonts w:ascii="Arial" w:eastAsia="Times New Roman" w:hAnsi="Arial" w:cs="Arial"/>
          <w:color w:val="333333"/>
          <w:kern w:val="0"/>
          <w:sz w:val="26"/>
          <w:szCs w:val="26"/>
          <w:lang w:eastAsia="es-UY"/>
          <w14:ligatures w14:val="none"/>
        </w:rPr>
        <w:t xml:space="preserve"> </w:t>
      </w:r>
      <w:proofErr w:type="spellStart"/>
      <w:r w:rsidRPr="00707D13">
        <w:rPr>
          <w:rFonts w:ascii="Arial" w:eastAsia="Times New Roman" w:hAnsi="Arial" w:cs="Arial"/>
          <w:color w:val="333333"/>
          <w:kern w:val="0"/>
          <w:sz w:val="26"/>
          <w:szCs w:val="26"/>
          <w:lang w:eastAsia="es-UY"/>
          <w14:ligatures w14:val="none"/>
        </w:rPr>
        <w:t>panenteísta</w:t>
      </w:r>
      <w:proofErr w:type="spellEnd"/>
      <w:r w:rsidRPr="00707D13">
        <w:rPr>
          <w:rFonts w:ascii="Arial" w:eastAsia="Times New Roman" w:hAnsi="Arial" w:cs="Arial"/>
          <w:color w:val="333333"/>
          <w:kern w:val="0"/>
          <w:sz w:val="26"/>
          <w:szCs w:val="26"/>
          <w:lang w:eastAsia="es-UY"/>
          <w14:ligatures w14:val="none"/>
        </w:rPr>
        <w:t>, según el cual la presencia y la acción de Dios son compatibles con la autonomía y la libertad de la criatura, en la medida en que el mundo creado mismo está presente, preservado en Dios, en una relación mutuamente constitutiva de Dios y el mundo, y un </w:t>
      </w:r>
      <w:proofErr w:type="spellStart"/>
      <w:r w:rsidRPr="00707D13">
        <w:rPr>
          <w:rFonts w:ascii="Arial" w:eastAsia="Times New Roman" w:hAnsi="Arial" w:cs="Arial"/>
          <w:b/>
          <w:bCs/>
          <w:color w:val="333333"/>
          <w:kern w:val="0"/>
          <w:sz w:val="26"/>
          <w:szCs w:val="26"/>
          <w:lang w:eastAsia="es-UY"/>
          <w14:ligatures w14:val="none"/>
        </w:rPr>
        <w:t>incompatibilismo</w:t>
      </w:r>
      <w:proofErr w:type="spellEnd"/>
      <w:r w:rsidRPr="00707D13">
        <w:rPr>
          <w:rFonts w:ascii="Arial" w:eastAsia="Times New Roman" w:hAnsi="Arial" w:cs="Arial"/>
          <w:b/>
          <w:bCs/>
          <w:color w:val="333333"/>
          <w:kern w:val="0"/>
          <w:sz w:val="26"/>
          <w:szCs w:val="26"/>
          <w:lang w:eastAsia="es-UY"/>
          <w14:ligatures w14:val="none"/>
        </w:rPr>
        <w:t xml:space="preserve"> </w:t>
      </w:r>
      <w:proofErr w:type="spellStart"/>
      <w:r w:rsidRPr="00707D13">
        <w:rPr>
          <w:rFonts w:ascii="Arial" w:eastAsia="Times New Roman" w:hAnsi="Arial" w:cs="Arial"/>
          <w:b/>
          <w:bCs/>
          <w:color w:val="333333"/>
          <w:kern w:val="0"/>
          <w:sz w:val="26"/>
          <w:szCs w:val="26"/>
          <w:lang w:eastAsia="es-UY"/>
          <w14:ligatures w14:val="none"/>
        </w:rPr>
        <w:t>kenótico</w:t>
      </w:r>
      <w:proofErr w:type="spellEnd"/>
      <w:r w:rsidRPr="00707D13">
        <w:rPr>
          <w:rFonts w:ascii="Arial" w:eastAsia="Times New Roman" w:hAnsi="Arial" w:cs="Arial"/>
          <w:color w:val="333333"/>
          <w:kern w:val="0"/>
          <w:sz w:val="26"/>
          <w:szCs w:val="26"/>
          <w:lang w:eastAsia="es-UY"/>
          <w14:ligatures w14:val="none"/>
        </w:rPr>
        <w:t xml:space="preserve"> , según el cual la </w:t>
      </w:r>
      <w:proofErr w:type="spellStart"/>
      <w:r w:rsidRPr="00707D13">
        <w:rPr>
          <w:rFonts w:ascii="Arial" w:eastAsia="Times New Roman" w:hAnsi="Arial" w:cs="Arial"/>
          <w:color w:val="333333"/>
          <w:kern w:val="0"/>
          <w:sz w:val="26"/>
          <w:szCs w:val="26"/>
          <w:lang w:eastAsia="es-UY"/>
          <w14:ligatures w14:val="none"/>
        </w:rPr>
        <w:t>copresencia</w:t>
      </w:r>
      <w:proofErr w:type="spellEnd"/>
      <w:r w:rsidRPr="00707D13">
        <w:rPr>
          <w:rFonts w:ascii="Arial" w:eastAsia="Times New Roman" w:hAnsi="Arial" w:cs="Arial"/>
          <w:color w:val="333333"/>
          <w:kern w:val="0"/>
          <w:sz w:val="26"/>
          <w:szCs w:val="26"/>
          <w:lang w:eastAsia="es-UY"/>
          <w14:ligatures w14:val="none"/>
        </w:rPr>
        <w:t xml:space="preserve"> de Dios y la criatura implica necesariamente el libre retiro, el vaciamiento de uno (Dios) para hacer espacio para la otra (criatura)” (30).</w:t>
      </w:r>
    </w:p>
    <w:p w14:paraId="4D726C5B"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25499608"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Siguiendo a </w:t>
      </w:r>
      <w:proofErr w:type="spellStart"/>
      <w:r w:rsidRPr="00707D13">
        <w:rPr>
          <w:rFonts w:ascii="Arial" w:eastAsia="Times New Roman" w:hAnsi="Arial" w:cs="Arial"/>
          <w:b/>
          <w:bCs/>
          <w:color w:val="333333"/>
          <w:kern w:val="0"/>
          <w:sz w:val="26"/>
          <w:szCs w:val="26"/>
          <w:lang w:eastAsia="es-UY"/>
          <w14:ligatures w14:val="none"/>
        </w:rPr>
        <w:t>Gregersen</w:t>
      </w:r>
      <w:proofErr w:type="spellEnd"/>
      <w:r w:rsidRPr="00707D13">
        <w:rPr>
          <w:rFonts w:ascii="Arial" w:eastAsia="Times New Roman" w:hAnsi="Arial" w:cs="Arial"/>
          <w:color w:val="333333"/>
          <w:kern w:val="0"/>
          <w:sz w:val="26"/>
          <w:szCs w:val="26"/>
          <w:lang w:eastAsia="es-UY"/>
          <w14:ligatures w14:val="none"/>
        </w:rPr>
        <w:t> , </w:t>
      </w:r>
      <w:proofErr w:type="spellStart"/>
      <w:r w:rsidRPr="00707D13">
        <w:rPr>
          <w:rFonts w:ascii="Arial" w:eastAsia="Times New Roman" w:hAnsi="Arial" w:cs="Arial"/>
          <w:b/>
          <w:bCs/>
          <w:color w:val="333333"/>
          <w:kern w:val="0"/>
          <w:sz w:val="26"/>
          <w:szCs w:val="26"/>
          <w:lang w:eastAsia="es-UY"/>
          <w14:ligatures w14:val="none"/>
        </w:rPr>
        <w:t>Fenaroli</w:t>
      </w:r>
      <w:proofErr w:type="spellEnd"/>
      <w:r w:rsidRPr="00707D13">
        <w:rPr>
          <w:rFonts w:ascii="Arial" w:eastAsia="Times New Roman" w:hAnsi="Arial" w:cs="Arial"/>
          <w:color w:val="333333"/>
          <w:kern w:val="0"/>
          <w:sz w:val="26"/>
          <w:szCs w:val="26"/>
          <w:lang w:eastAsia="es-UY"/>
          <w14:ligatures w14:val="none"/>
        </w:rPr>
        <w:t> analiza el concepto de </w:t>
      </w:r>
      <w:r w:rsidRPr="00707D13">
        <w:rPr>
          <w:rFonts w:ascii="Arial" w:eastAsia="Times New Roman" w:hAnsi="Arial" w:cs="Arial"/>
          <w:b/>
          <w:bCs/>
          <w:color w:val="333333"/>
          <w:kern w:val="0"/>
          <w:sz w:val="26"/>
          <w:szCs w:val="26"/>
          <w:lang w:eastAsia="es-UY"/>
          <w14:ligatures w14:val="none"/>
        </w:rPr>
        <w:t>panenteísmo</w:t>
      </w:r>
      <w:r w:rsidRPr="00707D13">
        <w:rPr>
          <w:rFonts w:ascii="Arial" w:eastAsia="Times New Roman" w:hAnsi="Arial" w:cs="Arial"/>
          <w:color w:val="333333"/>
          <w:kern w:val="0"/>
          <w:sz w:val="26"/>
          <w:szCs w:val="26"/>
          <w:lang w:eastAsia="es-UY"/>
          <w14:ligatures w14:val="none"/>
        </w:rPr>
        <w:t> , término acuñado en 1829 por el filósofo idealista alemán </w:t>
      </w:r>
      <w:r w:rsidRPr="00707D13">
        <w:rPr>
          <w:rFonts w:ascii="Arial" w:eastAsia="Times New Roman" w:hAnsi="Arial" w:cs="Arial"/>
          <w:b/>
          <w:bCs/>
          <w:color w:val="333333"/>
          <w:kern w:val="0"/>
          <w:sz w:val="26"/>
          <w:szCs w:val="26"/>
          <w:lang w:eastAsia="es-UY"/>
          <w14:ligatures w14:val="none"/>
        </w:rPr>
        <w:t>Karl Christian Friedrich Krause</w:t>
      </w:r>
      <w:r w:rsidRPr="00707D13">
        <w:rPr>
          <w:rFonts w:ascii="Arial" w:eastAsia="Times New Roman" w:hAnsi="Arial" w:cs="Arial"/>
          <w:color w:val="333333"/>
          <w:kern w:val="0"/>
          <w:sz w:val="26"/>
          <w:szCs w:val="26"/>
          <w:lang w:eastAsia="es-UY"/>
          <w14:ligatures w14:val="none"/>
        </w:rPr>
        <w:t> . Con un cierto margen de generalidad, generalmente se considera que esta categoría está presente en todas las religiones del mundo. También está en línea con otras teologías ampliamente discutidas, como el proceso de </w:t>
      </w:r>
      <w:hyperlink r:id="rId18" w:tgtFrame="_blank" w:history="1">
        <w:r w:rsidRPr="00707D13">
          <w:rPr>
            <w:rFonts w:ascii="Arial" w:eastAsia="Times New Roman" w:hAnsi="Arial" w:cs="Arial"/>
            <w:color w:val="FC6B01"/>
            <w:kern w:val="0"/>
            <w:sz w:val="26"/>
            <w:szCs w:val="26"/>
            <w:u w:val="single"/>
            <w:lang w:eastAsia="es-UY"/>
            <w14:ligatures w14:val="none"/>
          </w:rPr>
          <w:t>Alfred North Whitehead</w:t>
        </w:r>
      </w:hyperlink>
      <w:r w:rsidRPr="00707D13">
        <w:rPr>
          <w:rFonts w:ascii="Arial" w:eastAsia="Times New Roman" w:hAnsi="Arial" w:cs="Arial"/>
          <w:color w:val="333333"/>
          <w:kern w:val="0"/>
          <w:sz w:val="26"/>
          <w:szCs w:val="26"/>
          <w:lang w:eastAsia="es-UY"/>
          <w14:ligatures w14:val="none"/>
        </w:rPr>
        <w:t> o la visión de </w:t>
      </w:r>
      <w:r w:rsidRPr="00707D13">
        <w:rPr>
          <w:rFonts w:ascii="Arial" w:eastAsia="Times New Roman" w:hAnsi="Arial" w:cs="Arial"/>
          <w:b/>
          <w:bCs/>
          <w:color w:val="333333"/>
          <w:kern w:val="0"/>
          <w:sz w:val="26"/>
          <w:szCs w:val="26"/>
          <w:lang w:eastAsia="es-UY"/>
          <w14:ligatures w14:val="none"/>
        </w:rPr>
        <w:t xml:space="preserve">Charles </w:t>
      </w:r>
      <w:proofErr w:type="spellStart"/>
      <w:r w:rsidRPr="00707D13">
        <w:rPr>
          <w:rFonts w:ascii="Arial" w:eastAsia="Times New Roman" w:hAnsi="Arial" w:cs="Arial"/>
          <w:b/>
          <w:bCs/>
          <w:color w:val="333333"/>
          <w:kern w:val="0"/>
          <w:sz w:val="26"/>
          <w:szCs w:val="26"/>
          <w:lang w:eastAsia="es-UY"/>
          <w14:ligatures w14:val="none"/>
        </w:rPr>
        <w:t>Hartshorne</w:t>
      </w:r>
      <w:proofErr w:type="spellEnd"/>
      <w:r w:rsidRPr="00707D13">
        <w:rPr>
          <w:rFonts w:ascii="Arial" w:eastAsia="Times New Roman" w:hAnsi="Arial" w:cs="Arial"/>
          <w:color w:val="333333"/>
          <w:kern w:val="0"/>
          <w:sz w:val="26"/>
          <w:szCs w:val="26"/>
          <w:lang w:eastAsia="es-UY"/>
          <w14:ligatures w14:val="none"/>
        </w:rPr>
        <w:t> , según las cuales ya no es posible pensar en Dios como totalmente otro y basado en “una interacción de dos vías”. entre Dios y el mundo”.</w:t>
      </w:r>
    </w:p>
    <w:p w14:paraId="3E1F88DB"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130D788A"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Los autores de la teología de la encarnación profunda precisan, sin embargo, que es necesario mantener una distinción clara entre </w:t>
      </w:r>
      <w:r w:rsidRPr="00707D13">
        <w:rPr>
          <w:rFonts w:ascii="Arial" w:eastAsia="Times New Roman" w:hAnsi="Arial" w:cs="Arial"/>
          <w:b/>
          <w:bCs/>
          <w:color w:val="333333"/>
          <w:kern w:val="0"/>
          <w:sz w:val="26"/>
          <w:szCs w:val="26"/>
          <w:lang w:eastAsia="es-UY"/>
          <w14:ligatures w14:val="none"/>
        </w:rPr>
        <w:t>el panteísmo</w:t>
      </w:r>
      <w:r w:rsidRPr="00707D13">
        <w:rPr>
          <w:rFonts w:ascii="Arial" w:eastAsia="Times New Roman" w:hAnsi="Arial" w:cs="Arial"/>
          <w:color w:val="333333"/>
          <w:kern w:val="0"/>
          <w:sz w:val="26"/>
          <w:szCs w:val="26"/>
          <w:lang w:eastAsia="es-UY"/>
          <w14:ligatures w14:val="none"/>
        </w:rPr>
        <w:t> , según el cual Dios y el mundo se identifican, y </w:t>
      </w:r>
      <w:r w:rsidRPr="00707D13">
        <w:rPr>
          <w:rFonts w:ascii="Arial" w:eastAsia="Times New Roman" w:hAnsi="Arial" w:cs="Arial"/>
          <w:b/>
          <w:bCs/>
          <w:color w:val="333333"/>
          <w:kern w:val="0"/>
          <w:sz w:val="26"/>
          <w:szCs w:val="26"/>
          <w:lang w:eastAsia="es-UY"/>
          <w14:ligatures w14:val="none"/>
        </w:rPr>
        <w:t>el panenteísmo</w:t>
      </w:r>
      <w:r w:rsidRPr="00707D13">
        <w:rPr>
          <w:rFonts w:ascii="Arial" w:eastAsia="Times New Roman" w:hAnsi="Arial" w:cs="Arial"/>
          <w:color w:val="333333"/>
          <w:kern w:val="0"/>
          <w:sz w:val="26"/>
          <w:szCs w:val="26"/>
          <w:lang w:eastAsia="es-UY"/>
          <w14:ligatures w14:val="none"/>
        </w:rPr>
        <w:t> , que, en cambio, se limita a simplemente reconocer que todo está en Dios. . En otras palabras, </w:t>
      </w:r>
      <w:r w:rsidRPr="00707D13">
        <w:rPr>
          <w:rFonts w:ascii="Arial" w:eastAsia="Times New Roman" w:hAnsi="Arial" w:cs="Arial"/>
          <w:b/>
          <w:bCs/>
          <w:color w:val="333333"/>
          <w:kern w:val="0"/>
          <w:sz w:val="26"/>
          <w:szCs w:val="26"/>
          <w:lang w:eastAsia="es-UY"/>
          <w14:ligatures w14:val="none"/>
        </w:rPr>
        <w:t>el panenteísmo</w:t>
      </w:r>
      <w:r w:rsidRPr="00707D13">
        <w:rPr>
          <w:rFonts w:ascii="Arial" w:eastAsia="Times New Roman" w:hAnsi="Arial" w:cs="Arial"/>
          <w:color w:val="333333"/>
          <w:kern w:val="0"/>
          <w:sz w:val="26"/>
          <w:szCs w:val="26"/>
          <w:lang w:eastAsia="es-UY"/>
          <w14:ligatures w14:val="none"/>
        </w:rPr>
        <w:t> equilibra de manera más equitativa la trascendencia y la inmanencia.</w:t>
      </w:r>
    </w:p>
    <w:p w14:paraId="4A1F0C21"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06D6127D"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roofErr w:type="spellStart"/>
      <w:r w:rsidRPr="00707D13">
        <w:rPr>
          <w:rFonts w:ascii="Arial" w:eastAsia="Times New Roman" w:hAnsi="Arial" w:cs="Arial"/>
          <w:b/>
          <w:bCs/>
          <w:color w:val="333333"/>
          <w:kern w:val="0"/>
          <w:sz w:val="26"/>
          <w:szCs w:val="26"/>
          <w:lang w:eastAsia="es-UY"/>
          <w14:ligatures w14:val="none"/>
        </w:rPr>
        <w:t>Fenaroli</w:t>
      </w:r>
      <w:proofErr w:type="spellEnd"/>
      <w:r w:rsidRPr="00707D13">
        <w:rPr>
          <w:rFonts w:ascii="Arial" w:eastAsia="Times New Roman" w:hAnsi="Arial" w:cs="Arial"/>
          <w:color w:val="333333"/>
          <w:kern w:val="0"/>
          <w:sz w:val="26"/>
          <w:szCs w:val="26"/>
          <w:lang w:eastAsia="es-UY"/>
          <w14:ligatures w14:val="none"/>
        </w:rPr>
        <w:t> enfatiza esto, señalando que ningún monismo simplista está implícito en la encarnación profunda, precisamente porque apunta a distinguir y especificar la diferencia que existe entre la presencia de Dios en la historia encarnada de Jesús y aquella más genérica en la creación. Al respecto, el autor precisa que “la diferencia en la </w:t>
      </w:r>
      <w:hyperlink r:id="rId19" w:tgtFrame="_blank" w:history="1">
        <w:r w:rsidRPr="00707D13">
          <w:rPr>
            <w:rFonts w:ascii="Arial" w:eastAsia="Times New Roman" w:hAnsi="Arial" w:cs="Arial"/>
            <w:color w:val="FC6B01"/>
            <w:kern w:val="0"/>
            <w:sz w:val="26"/>
            <w:szCs w:val="26"/>
            <w:u w:val="single"/>
            <w:lang w:eastAsia="es-UY"/>
            <w14:ligatures w14:val="none"/>
          </w:rPr>
          <w:t>presencia de Dios en Jesús</w:t>
        </w:r>
      </w:hyperlink>
      <w:r w:rsidRPr="00707D13">
        <w:rPr>
          <w:rFonts w:ascii="Arial" w:eastAsia="Times New Roman" w:hAnsi="Arial" w:cs="Arial"/>
          <w:color w:val="333333"/>
          <w:kern w:val="0"/>
          <w:sz w:val="26"/>
          <w:szCs w:val="26"/>
          <w:lang w:eastAsia="es-UY"/>
          <w14:ligatures w14:val="none"/>
        </w:rPr>
        <w:t> no es simplemente una diferencia de 'grado' respecto de otras formas, sino una diferencia ontológica” (192).</w:t>
      </w:r>
    </w:p>
    <w:p w14:paraId="27499E75"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5D8FFC68"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Otro elemento de novedad contenido en esta teología es, como vuelve a señalar </w:t>
      </w:r>
      <w:proofErr w:type="spellStart"/>
      <w:r w:rsidRPr="00707D13">
        <w:rPr>
          <w:rFonts w:ascii="Arial" w:eastAsia="Times New Roman" w:hAnsi="Arial" w:cs="Arial"/>
          <w:b/>
          <w:bCs/>
          <w:color w:val="333333"/>
          <w:kern w:val="0"/>
          <w:sz w:val="26"/>
          <w:szCs w:val="26"/>
          <w:lang w:eastAsia="es-UY"/>
          <w14:ligatures w14:val="none"/>
        </w:rPr>
        <w:t>Fenaroli</w:t>
      </w:r>
      <w:proofErr w:type="spellEnd"/>
      <w:r w:rsidRPr="00707D13">
        <w:rPr>
          <w:rFonts w:ascii="Arial" w:eastAsia="Times New Roman" w:hAnsi="Arial" w:cs="Arial"/>
          <w:b/>
          <w:bCs/>
          <w:color w:val="333333"/>
          <w:kern w:val="0"/>
          <w:sz w:val="26"/>
          <w:szCs w:val="26"/>
          <w:lang w:eastAsia="es-UY"/>
          <w14:ligatures w14:val="none"/>
        </w:rPr>
        <w:t xml:space="preserve"> , el “</w:t>
      </w:r>
      <w:proofErr w:type="spellStart"/>
      <w:r w:rsidRPr="00707D13">
        <w:rPr>
          <w:rFonts w:ascii="Arial" w:eastAsia="Times New Roman" w:hAnsi="Arial" w:cs="Arial"/>
          <w:b/>
          <w:bCs/>
          <w:color w:val="333333"/>
          <w:kern w:val="0"/>
          <w:sz w:val="26"/>
          <w:szCs w:val="26"/>
          <w:lang w:eastAsia="es-UY"/>
          <w14:ligatures w14:val="none"/>
        </w:rPr>
        <w:t>repensamiento</w:t>
      </w:r>
      <w:proofErr w:type="spellEnd"/>
      <w:r w:rsidRPr="00707D13">
        <w:rPr>
          <w:rFonts w:ascii="Arial" w:eastAsia="Times New Roman" w:hAnsi="Arial" w:cs="Arial"/>
          <w:b/>
          <w:bCs/>
          <w:color w:val="333333"/>
          <w:kern w:val="0"/>
          <w:sz w:val="26"/>
          <w:szCs w:val="26"/>
          <w:lang w:eastAsia="es-UY"/>
          <w14:ligatures w14:val="none"/>
        </w:rPr>
        <w:t xml:space="preserve"> del tema </w:t>
      </w:r>
      <w:proofErr w:type="spellStart"/>
      <w:r w:rsidRPr="00707D13">
        <w:rPr>
          <w:rFonts w:ascii="Arial" w:eastAsia="Times New Roman" w:hAnsi="Arial" w:cs="Arial"/>
          <w:b/>
          <w:bCs/>
          <w:color w:val="333333"/>
          <w:kern w:val="0"/>
          <w:sz w:val="26"/>
          <w:szCs w:val="26"/>
          <w:lang w:eastAsia="es-UY"/>
          <w14:ligatures w14:val="none"/>
        </w:rPr>
        <w:t>panenteísta</w:t>
      </w:r>
      <w:proofErr w:type="spellEnd"/>
      <w:r w:rsidRPr="00707D13">
        <w:rPr>
          <w:rFonts w:ascii="Arial" w:eastAsia="Times New Roman" w:hAnsi="Arial" w:cs="Arial"/>
          <w:b/>
          <w:bCs/>
          <w:color w:val="333333"/>
          <w:kern w:val="0"/>
          <w:sz w:val="26"/>
          <w:szCs w:val="26"/>
          <w:lang w:eastAsia="es-UY"/>
          <w14:ligatures w14:val="none"/>
        </w:rPr>
        <w:t xml:space="preserve"> en diálogo con las ciencias naturales, reconociendo en la categoría de </w:t>
      </w:r>
      <w:r w:rsidRPr="00707D13">
        <w:rPr>
          <w:rFonts w:ascii="Arial" w:eastAsia="Times New Roman" w:hAnsi="Arial" w:cs="Arial"/>
          <w:i/>
          <w:iCs/>
          <w:color w:val="333333"/>
          <w:kern w:val="0"/>
          <w:sz w:val="26"/>
          <w:szCs w:val="26"/>
          <w:lang w:eastAsia="es-UY"/>
          <w14:ligatures w14:val="none"/>
        </w:rPr>
        <w:t>Logos</w:t>
      </w:r>
      <w:r w:rsidRPr="00707D13">
        <w:rPr>
          <w:rFonts w:ascii="Arial" w:eastAsia="Times New Roman" w:hAnsi="Arial" w:cs="Arial"/>
          <w:color w:val="333333"/>
          <w:kern w:val="0"/>
          <w:sz w:val="26"/>
          <w:szCs w:val="26"/>
          <w:lang w:eastAsia="es-UY"/>
          <w14:ligatures w14:val="none"/>
        </w:rPr>
        <w:t xml:space="preserve"> un </w:t>
      </w:r>
      <w:r w:rsidRPr="00707D13">
        <w:rPr>
          <w:rFonts w:ascii="Arial" w:eastAsia="Times New Roman" w:hAnsi="Arial" w:cs="Arial"/>
          <w:color w:val="333333"/>
          <w:kern w:val="0"/>
          <w:sz w:val="26"/>
          <w:szCs w:val="26"/>
          <w:lang w:eastAsia="es-UY"/>
          <w14:ligatures w14:val="none"/>
        </w:rPr>
        <w:lastRenderedPageBreak/>
        <w:t>punto de contacto inesperado con los descubrimientos más recientes en el mundo físico- campo cuántico. El paralelismo creado entre las personas de la Trinidad y la tríada científica de información (el </w:t>
      </w:r>
      <w:r w:rsidRPr="00707D13">
        <w:rPr>
          <w:rFonts w:ascii="Arial" w:eastAsia="Times New Roman" w:hAnsi="Arial" w:cs="Arial"/>
          <w:i/>
          <w:iCs/>
          <w:color w:val="333333"/>
          <w:kern w:val="0"/>
          <w:sz w:val="26"/>
          <w:szCs w:val="26"/>
          <w:lang w:eastAsia="es-UY"/>
          <w14:ligatures w14:val="none"/>
        </w:rPr>
        <w:t>Logos</w:t>
      </w:r>
      <w:r w:rsidRPr="00707D13">
        <w:rPr>
          <w:rFonts w:ascii="Arial" w:eastAsia="Times New Roman" w:hAnsi="Arial" w:cs="Arial"/>
          <w:color w:val="333333"/>
          <w:kern w:val="0"/>
          <w:sz w:val="26"/>
          <w:szCs w:val="26"/>
          <w:lang w:eastAsia="es-UY"/>
          <w14:ligatures w14:val="none"/>
        </w:rPr>
        <w:t> ), masa (el Padre) y energía (el Espíritu)” (502).</w:t>
      </w:r>
    </w:p>
    <w:p w14:paraId="082077D0"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77D3080E"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Son estos diversos componentes, en esencia, los que hacen que la encarnación profunda no sólo sea actual, sino también un terreno inexplorado y un desafío teológico que no se puede ignorar.</w:t>
      </w:r>
    </w:p>
    <w:p w14:paraId="21620CEF"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75E8FEF6" w14:textId="77777777" w:rsidR="00707D13" w:rsidRPr="00707D13" w:rsidRDefault="00707D13" w:rsidP="00707D13">
      <w:pPr>
        <w:spacing w:after="0" w:line="240" w:lineRule="auto"/>
        <w:jc w:val="both"/>
        <w:outlineLvl w:val="1"/>
        <w:rPr>
          <w:rFonts w:ascii="Arial" w:eastAsia="Times New Roman" w:hAnsi="Arial" w:cs="Arial"/>
          <w:b/>
          <w:bCs/>
          <w:color w:val="333333"/>
          <w:kern w:val="0"/>
          <w:sz w:val="36"/>
          <w:szCs w:val="36"/>
          <w:lang w:eastAsia="es-UY"/>
          <w14:ligatures w14:val="none"/>
        </w:rPr>
      </w:pPr>
      <w:r w:rsidRPr="00707D13">
        <w:rPr>
          <w:rFonts w:ascii="Arial" w:eastAsia="Times New Roman" w:hAnsi="Arial" w:cs="Arial"/>
          <w:b/>
          <w:bCs/>
          <w:color w:val="333333"/>
          <w:kern w:val="0"/>
          <w:sz w:val="36"/>
          <w:szCs w:val="36"/>
          <w:lang w:eastAsia="es-UY"/>
          <w14:ligatures w14:val="none"/>
        </w:rPr>
        <w:t xml:space="preserve">La propuesta de Henrik </w:t>
      </w:r>
      <w:proofErr w:type="spellStart"/>
      <w:r w:rsidRPr="00707D13">
        <w:rPr>
          <w:rFonts w:ascii="Arial" w:eastAsia="Times New Roman" w:hAnsi="Arial" w:cs="Arial"/>
          <w:b/>
          <w:bCs/>
          <w:color w:val="333333"/>
          <w:kern w:val="0"/>
          <w:sz w:val="36"/>
          <w:szCs w:val="36"/>
          <w:lang w:eastAsia="es-UY"/>
          <w14:ligatures w14:val="none"/>
        </w:rPr>
        <w:t>Gregersen</w:t>
      </w:r>
      <w:proofErr w:type="spellEnd"/>
    </w:p>
    <w:p w14:paraId="068A2991"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El libro de </w:t>
      </w:r>
      <w:proofErr w:type="spellStart"/>
      <w:r w:rsidRPr="00707D13">
        <w:rPr>
          <w:rFonts w:ascii="Arial" w:eastAsia="Times New Roman" w:hAnsi="Arial" w:cs="Arial"/>
          <w:b/>
          <w:bCs/>
          <w:color w:val="333333"/>
          <w:kern w:val="0"/>
          <w:sz w:val="26"/>
          <w:szCs w:val="26"/>
          <w:lang w:eastAsia="es-UY"/>
          <w14:ligatures w14:val="none"/>
        </w:rPr>
        <w:t>Fenaroli</w:t>
      </w:r>
      <w:proofErr w:type="spellEnd"/>
      <w:r w:rsidRPr="00707D13">
        <w:rPr>
          <w:rFonts w:ascii="Arial" w:eastAsia="Times New Roman" w:hAnsi="Arial" w:cs="Arial"/>
          <w:color w:val="333333"/>
          <w:kern w:val="0"/>
          <w:sz w:val="26"/>
          <w:szCs w:val="26"/>
          <w:lang w:eastAsia="es-UY"/>
          <w14:ligatures w14:val="none"/>
        </w:rPr>
        <w:t> centra gran atención en el teólogo </w:t>
      </w:r>
      <w:r w:rsidRPr="00707D13">
        <w:rPr>
          <w:rFonts w:ascii="Arial" w:eastAsia="Times New Roman" w:hAnsi="Arial" w:cs="Arial"/>
          <w:b/>
          <w:bCs/>
          <w:color w:val="333333"/>
          <w:kern w:val="0"/>
          <w:sz w:val="26"/>
          <w:szCs w:val="26"/>
          <w:lang w:eastAsia="es-UY"/>
          <w14:ligatures w14:val="none"/>
        </w:rPr>
        <w:t xml:space="preserve">Niels Henrik </w:t>
      </w:r>
      <w:proofErr w:type="spellStart"/>
      <w:r w:rsidRPr="00707D13">
        <w:rPr>
          <w:rFonts w:ascii="Arial" w:eastAsia="Times New Roman" w:hAnsi="Arial" w:cs="Arial"/>
          <w:b/>
          <w:bCs/>
          <w:color w:val="333333"/>
          <w:kern w:val="0"/>
          <w:sz w:val="26"/>
          <w:szCs w:val="26"/>
          <w:lang w:eastAsia="es-UY"/>
          <w14:ligatures w14:val="none"/>
        </w:rPr>
        <w:t>Gregersen</w:t>
      </w:r>
      <w:proofErr w:type="spellEnd"/>
      <w:r w:rsidRPr="00707D13">
        <w:rPr>
          <w:rFonts w:ascii="Arial" w:eastAsia="Times New Roman" w:hAnsi="Arial" w:cs="Arial"/>
          <w:color w:val="333333"/>
          <w:kern w:val="0"/>
          <w:sz w:val="26"/>
          <w:szCs w:val="26"/>
          <w:lang w:eastAsia="es-UY"/>
          <w14:ligatures w14:val="none"/>
        </w:rPr>
        <w:t> , profesor de teología sistemática en la </w:t>
      </w:r>
      <w:r w:rsidRPr="00707D13">
        <w:rPr>
          <w:rFonts w:ascii="Arial" w:eastAsia="Times New Roman" w:hAnsi="Arial" w:cs="Arial"/>
          <w:b/>
          <w:bCs/>
          <w:color w:val="333333"/>
          <w:kern w:val="0"/>
          <w:sz w:val="26"/>
          <w:szCs w:val="26"/>
          <w:lang w:eastAsia="es-UY"/>
          <w14:ligatures w14:val="none"/>
        </w:rPr>
        <w:t>Universidad de Copenhague</w:t>
      </w:r>
      <w:r w:rsidRPr="00707D13">
        <w:rPr>
          <w:rFonts w:ascii="Arial" w:eastAsia="Times New Roman" w:hAnsi="Arial" w:cs="Arial"/>
          <w:color w:val="333333"/>
          <w:kern w:val="0"/>
          <w:sz w:val="26"/>
          <w:szCs w:val="26"/>
          <w:lang w:eastAsia="es-UY"/>
          <w14:ligatures w14:val="none"/>
        </w:rPr>
        <w:t> , ministro evangélico-luterano en la iglesia danesa y autor de varios ensayos que giran en torno a lo que él mismo llamó la encarnación profunda.</w:t>
      </w:r>
    </w:p>
    <w:p w14:paraId="3E7AC0E0"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7D695F70"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La investigación que ha emprendido el pastor danés se dirige hacia lo que definió como “posible ampliación del significado de la doctrina de la encarnación”. El estudioso, de hecho, hace una distinción entre el significado “básico” de la encarnación y su significado “total”, destacando las diferencias que subsisten entre una comprensión superficial de la encarnación ( </w:t>
      </w:r>
      <w:r w:rsidRPr="00707D13">
        <w:rPr>
          <w:rFonts w:ascii="Arial" w:eastAsia="Times New Roman" w:hAnsi="Arial" w:cs="Arial"/>
          <w:i/>
          <w:iCs/>
          <w:color w:val="333333"/>
          <w:kern w:val="0"/>
          <w:sz w:val="26"/>
          <w:szCs w:val="26"/>
          <w:lang w:eastAsia="es-UY"/>
          <w14:ligatures w14:val="none"/>
        </w:rPr>
        <w:t>encarnación superficial</w:t>
      </w:r>
      <w:r w:rsidRPr="00707D13">
        <w:rPr>
          <w:rFonts w:ascii="Arial" w:eastAsia="Times New Roman" w:hAnsi="Arial" w:cs="Arial"/>
          <w:color w:val="333333"/>
          <w:kern w:val="0"/>
          <w:sz w:val="26"/>
          <w:szCs w:val="26"/>
          <w:lang w:eastAsia="es-UY"/>
          <w14:ligatures w14:val="none"/>
        </w:rPr>
        <w:t> ) y una concepción más amplia que retoma el concepto de encarnación. Cuestión soteriológica en todo su alcance ( </w:t>
      </w:r>
      <w:r w:rsidRPr="00707D13">
        <w:rPr>
          <w:rFonts w:ascii="Arial" w:eastAsia="Times New Roman" w:hAnsi="Arial" w:cs="Arial"/>
          <w:i/>
          <w:iCs/>
          <w:color w:val="333333"/>
          <w:kern w:val="0"/>
          <w:sz w:val="26"/>
          <w:szCs w:val="26"/>
          <w:lang w:eastAsia="es-UY"/>
          <w14:ligatures w14:val="none"/>
        </w:rPr>
        <w:t>sentido de alcance completo</w:t>
      </w:r>
      <w:r w:rsidRPr="00707D13">
        <w:rPr>
          <w:rFonts w:ascii="Arial" w:eastAsia="Times New Roman" w:hAnsi="Arial" w:cs="Arial"/>
          <w:color w:val="333333"/>
          <w:kern w:val="0"/>
          <w:sz w:val="26"/>
          <w:szCs w:val="26"/>
          <w:lang w:eastAsia="es-UY"/>
          <w14:ligatures w14:val="none"/>
        </w:rPr>
        <w:t> ) (cf. 49).</w:t>
      </w:r>
    </w:p>
    <w:p w14:paraId="4B879F14"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4E7F3BA1"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El adjetivo “profundo”, en cualquier caso, indica en </w:t>
      </w:r>
      <w:proofErr w:type="spellStart"/>
      <w:r w:rsidRPr="00707D13">
        <w:rPr>
          <w:rFonts w:ascii="Arial" w:eastAsia="Times New Roman" w:hAnsi="Arial" w:cs="Arial"/>
          <w:b/>
          <w:bCs/>
          <w:color w:val="333333"/>
          <w:kern w:val="0"/>
          <w:sz w:val="26"/>
          <w:szCs w:val="26"/>
          <w:lang w:eastAsia="es-UY"/>
          <w14:ligatures w14:val="none"/>
        </w:rPr>
        <w:t>Gregersen</w:t>
      </w:r>
      <w:proofErr w:type="spellEnd"/>
      <w:r w:rsidRPr="00707D13">
        <w:rPr>
          <w:rFonts w:ascii="Arial" w:eastAsia="Times New Roman" w:hAnsi="Arial" w:cs="Arial"/>
          <w:color w:val="333333"/>
          <w:kern w:val="0"/>
          <w:sz w:val="26"/>
          <w:szCs w:val="26"/>
          <w:lang w:eastAsia="es-UY"/>
          <w14:ligatures w14:val="none"/>
        </w:rPr>
        <w:t> una concepción del </w:t>
      </w:r>
      <w:r w:rsidRPr="00707D13">
        <w:rPr>
          <w:rFonts w:ascii="Arial" w:eastAsia="Times New Roman" w:hAnsi="Arial" w:cs="Arial"/>
          <w:i/>
          <w:iCs/>
          <w:color w:val="333333"/>
          <w:kern w:val="0"/>
          <w:sz w:val="26"/>
          <w:szCs w:val="26"/>
          <w:lang w:eastAsia="es-UY"/>
          <w14:ligatures w14:val="none"/>
        </w:rPr>
        <w:t>Logos</w:t>
      </w:r>
      <w:r w:rsidRPr="00707D13">
        <w:rPr>
          <w:rFonts w:ascii="Arial" w:eastAsia="Times New Roman" w:hAnsi="Arial" w:cs="Arial"/>
          <w:color w:val="333333"/>
          <w:kern w:val="0"/>
          <w:sz w:val="26"/>
          <w:szCs w:val="26"/>
          <w:lang w:eastAsia="es-UY"/>
          <w14:ligatures w14:val="none"/>
        </w:rPr>
        <w:t> divino entendido como modelo o principio formativo que asumía no sólo la humanidad, sino toda la maleable matriz de la materialidad (cf. 49). En otras palabras, con esto se refiere a la penetración de Cristo en la materia y la realidad biológica del cosmos.</w:t>
      </w:r>
    </w:p>
    <w:p w14:paraId="56C841EC"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021F77B8"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Esto lleva al teólogo luterano a rechazar, en el plano cristológico, “el enfoque metafísico de </w:t>
      </w:r>
      <w:r w:rsidRPr="00707D13">
        <w:rPr>
          <w:rFonts w:ascii="Arial" w:eastAsia="Times New Roman" w:hAnsi="Arial" w:cs="Arial"/>
          <w:b/>
          <w:bCs/>
          <w:color w:val="333333"/>
          <w:kern w:val="0"/>
          <w:sz w:val="26"/>
          <w:szCs w:val="26"/>
          <w:lang w:eastAsia="es-UY"/>
          <w14:ligatures w14:val="none"/>
        </w:rPr>
        <w:t>Calcedonia</w:t>
      </w:r>
      <w:r w:rsidRPr="00707D13">
        <w:rPr>
          <w:rFonts w:ascii="Arial" w:eastAsia="Times New Roman" w:hAnsi="Arial" w:cs="Arial"/>
          <w:color w:val="333333"/>
          <w:kern w:val="0"/>
          <w:sz w:val="26"/>
          <w:szCs w:val="26"/>
          <w:lang w:eastAsia="es-UY"/>
          <w14:ligatures w14:val="none"/>
        </w:rPr>
        <w:t> , para recuperar las raíces bíblicas de una 'cristología de la identidad'” (265).</w:t>
      </w:r>
    </w:p>
    <w:p w14:paraId="1FB529CF"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0C40745C"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En </w:t>
      </w:r>
      <w:proofErr w:type="spellStart"/>
      <w:r w:rsidRPr="00707D13">
        <w:rPr>
          <w:rFonts w:ascii="Arial" w:eastAsia="Times New Roman" w:hAnsi="Arial" w:cs="Arial"/>
          <w:b/>
          <w:bCs/>
          <w:color w:val="333333"/>
          <w:kern w:val="0"/>
          <w:sz w:val="26"/>
          <w:szCs w:val="26"/>
          <w:lang w:eastAsia="es-UY"/>
          <w14:ligatures w14:val="none"/>
        </w:rPr>
        <w:t>Gregersen</w:t>
      </w:r>
      <w:proofErr w:type="spellEnd"/>
      <w:r w:rsidRPr="00707D13">
        <w:rPr>
          <w:rFonts w:ascii="Arial" w:eastAsia="Times New Roman" w:hAnsi="Arial" w:cs="Arial"/>
          <w:color w:val="333333"/>
          <w:kern w:val="0"/>
          <w:sz w:val="26"/>
          <w:szCs w:val="26"/>
          <w:lang w:eastAsia="es-UY"/>
          <w14:ligatures w14:val="none"/>
        </w:rPr>
        <w:t> , por tanto, está presente una cristología “alta” que incluye a Jesús en la única identidad divina, por lo que, a su juicio, todo lo que concierne a la humanidad de Cristo tiene que ver con la identidad de Dios, “incluido así en la identidad divina única en cada dimensión de la vida biológico-evolutiva del ser humano, según la perspectiva de una encarnación verdaderamente profunda” (265).</w:t>
      </w:r>
    </w:p>
    <w:p w14:paraId="32C0E8AF"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1FBCAED7"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La encarnación profunda, en definitiva, indica que Dios entra en el tejido biológico de la propia creación, dando vida a una realidad que no debería llamarse panteísmo, porque es otra forma más, precisamente, de </w:t>
      </w:r>
      <w:hyperlink r:id="rId20" w:anchor=":~:text=A%20teologia%20moderna%20cunhou%20outra,pelo%20fulgor%20divino%20do%20universo." w:tgtFrame="_blank" w:history="1">
        <w:r w:rsidRPr="00707D13">
          <w:rPr>
            <w:rFonts w:ascii="Arial" w:eastAsia="Times New Roman" w:hAnsi="Arial" w:cs="Arial"/>
            <w:color w:val="FC6B01"/>
            <w:kern w:val="0"/>
            <w:sz w:val="26"/>
            <w:szCs w:val="26"/>
            <w:u w:val="single"/>
            <w:lang w:eastAsia="es-UY"/>
            <w14:ligatures w14:val="none"/>
          </w:rPr>
          <w:t>panenteísmo</w:t>
        </w:r>
      </w:hyperlink>
      <w:r w:rsidRPr="00707D13">
        <w:rPr>
          <w:rFonts w:ascii="Arial" w:eastAsia="Times New Roman" w:hAnsi="Arial" w:cs="Arial"/>
          <w:color w:val="333333"/>
          <w:kern w:val="0"/>
          <w:sz w:val="26"/>
          <w:szCs w:val="26"/>
          <w:lang w:eastAsia="es-UY"/>
          <w14:ligatures w14:val="none"/>
        </w:rPr>
        <w:t> . Es significativo, por ejemplo, que </w:t>
      </w:r>
      <w:proofErr w:type="spellStart"/>
      <w:r w:rsidRPr="00707D13">
        <w:rPr>
          <w:rFonts w:ascii="Arial" w:eastAsia="Times New Roman" w:hAnsi="Arial" w:cs="Arial"/>
          <w:b/>
          <w:bCs/>
          <w:color w:val="333333"/>
          <w:kern w:val="0"/>
          <w:sz w:val="26"/>
          <w:szCs w:val="26"/>
          <w:lang w:eastAsia="es-UY"/>
          <w14:ligatures w14:val="none"/>
        </w:rPr>
        <w:t>Gregersen</w:t>
      </w:r>
      <w:proofErr w:type="spellEnd"/>
      <w:r w:rsidRPr="00707D13">
        <w:rPr>
          <w:rFonts w:ascii="Arial" w:eastAsia="Times New Roman" w:hAnsi="Arial" w:cs="Arial"/>
          <w:color w:val="333333"/>
          <w:kern w:val="0"/>
          <w:sz w:val="26"/>
          <w:szCs w:val="26"/>
          <w:lang w:eastAsia="es-UY"/>
          <w14:ligatures w14:val="none"/>
        </w:rPr>
        <w:t xml:space="preserve"> se </w:t>
      </w:r>
      <w:r w:rsidRPr="00707D13">
        <w:rPr>
          <w:rFonts w:ascii="Arial" w:eastAsia="Times New Roman" w:hAnsi="Arial" w:cs="Arial"/>
          <w:color w:val="333333"/>
          <w:kern w:val="0"/>
          <w:sz w:val="26"/>
          <w:szCs w:val="26"/>
          <w:lang w:eastAsia="es-UY"/>
          <w14:ligatures w14:val="none"/>
        </w:rPr>
        <w:lastRenderedPageBreak/>
        <w:t>distanciara de la cosmología de la ecología profunda precisamente porque rechaza una comprensión panteísta-naturalista de la realidad.</w:t>
      </w:r>
    </w:p>
    <w:p w14:paraId="219CA628"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248C282B"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Otra dimensión característica de la teología danesa, además, es su participación en la perspectiva evolucionista, en la medida en que, como señala </w:t>
      </w:r>
      <w:proofErr w:type="spellStart"/>
      <w:r w:rsidRPr="00707D13">
        <w:rPr>
          <w:rFonts w:ascii="Arial" w:eastAsia="Times New Roman" w:hAnsi="Arial" w:cs="Arial"/>
          <w:b/>
          <w:bCs/>
          <w:color w:val="333333"/>
          <w:kern w:val="0"/>
          <w:sz w:val="26"/>
          <w:szCs w:val="26"/>
          <w:lang w:eastAsia="es-UY"/>
          <w14:ligatures w14:val="none"/>
        </w:rPr>
        <w:t>Fenaroli</w:t>
      </w:r>
      <w:proofErr w:type="spellEnd"/>
      <w:r w:rsidRPr="00707D13">
        <w:rPr>
          <w:rFonts w:ascii="Arial" w:eastAsia="Times New Roman" w:hAnsi="Arial" w:cs="Arial"/>
          <w:b/>
          <w:bCs/>
          <w:color w:val="333333"/>
          <w:kern w:val="0"/>
          <w:sz w:val="26"/>
          <w:szCs w:val="26"/>
          <w:lang w:eastAsia="es-UY"/>
          <w14:ligatures w14:val="none"/>
        </w:rPr>
        <w:t xml:space="preserve"> , “el punto fundamental y principal del compromiso de </w:t>
      </w:r>
      <w:proofErr w:type="spellStart"/>
      <w:r w:rsidRPr="00707D13">
        <w:rPr>
          <w:rFonts w:ascii="Arial" w:eastAsia="Times New Roman" w:hAnsi="Arial" w:cs="Arial"/>
          <w:b/>
          <w:bCs/>
          <w:color w:val="333333"/>
          <w:kern w:val="0"/>
          <w:sz w:val="26"/>
          <w:szCs w:val="26"/>
          <w:lang w:eastAsia="es-UY"/>
          <w14:ligatures w14:val="none"/>
        </w:rPr>
        <w:t>Gregersen</w:t>
      </w:r>
      <w:proofErr w:type="spellEnd"/>
      <w:r w:rsidRPr="00707D13">
        <w:rPr>
          <w:rFonts w:ascii="Arial" w:eastAsia="Times New Roman" w:hAnsi="Arial" w:cs="Arial"/>
          <w:color w:val="333333"/>
          <w:kern w:val="0"/>
          <w:sz w:val="26"/>
          <w:szCs w:val="26"/>
          <w:lang w:eastAsia="es-UY"/>
          <w14:ligatures w14:val="none"/>
        </w:rPr>
        <w:t> es pensar la cristología en relación con la evolución, para la inclusión de la historia de Jesús en la historia más amplia de la evolución del mundo humano y no humano” (264).</w:t>
      </w:r>
    </w:p>
    <w:p w14:paraId="1E73A002"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2FEDBB72"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En su opinión, por tanto, creación y evolución están unidas y pretenden dar respuesta al mal tanto moral como biológico-natural. Partiendo de estas premisas, la reflexión del teólogo </w:t>
      </w:r>
      <w:r w:rsidRPr="00707D13">
        <w:rPr>
          <w:rFonts w:ascii="Arial" w:eastAsia="Times New Roman" w:hAnsi="Arial" w:cs="Arial"/>
          <w:b/>
          <w:bCs/>
          <w:color w:val="333333"/>
          <w:kern w:val="0"/>
          <w:sz w:val="26"/>
          <w:szCs w:val="26"/>
          <w:lang w:eastAsia="es-UY"/>
          <w14:ligatures w14:val="none"/>
        </w:rPr>
        <w:t>de Copenhague</w:t>
      </w:r>
      <w:r w:rsidRPr="00707D13">
        <w:rPr>
          <w:rFonts w:ascii="Arial" w:eastAsia="Times New Roman" w:hAnsi="Arial" w:cs="Arial"/>
          <w:color w:val="333333"/>
          <w:kern w:val="0"/>
          <w:sz w:val="26"/>
          <w:szCs w:val="26"/>
          <w:lang w:eastAsia="es-UY"/>
          <w14:ligatures w14:val="none"/>
        </w:rPr>
        <w:t> resulta una suerte de teodicea y de reconciliación entre inmanencia y trascendencia.</w:t>
      </w:r>
    </w:p>
    <w:p w14:paraId="4E3CE0FD"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roofErr w:type="spellStart"/>
      <w:r w:rsidRPr="00707D13">
        <w:rPr>
          <w:rFonts w:ascii="Arial" w:eastAsia="Times New Roman" w:hAnsi="Arial" w:cs="Arial"/>
          <w:b/>
          <w:bCs/>
          <w:color w:val="333333"/>
          <w:kern w:val="0"/>
          <w:sz w:val="26"/>
          <w:szCs w:val="26"/>
          <w:lang w:eastAsia="es-UY"/>
          <w14:ligatures w14:val="none"/>
        </w:rPr>
        <w:t>Fenaroli</w:t>
      </w:r>
      <w:proofErr w:type="spellEnd"/>
      <w:r w:rsidRPr="00707D13">
        <w:rPr>
          <w:rFonts w:ascii="Arial" w:eastAsia="Times New Roman" w:hAnsi="Arial" w:cs="Arial"/>
          <w:color w:val="333333"/>
          <w:kern w:val="0"/>
          <w:sz w:val="26"/>
          <w:szCs w:val="26"/>
          <w:lang w:eastAsia="es-UY"/>
          <w14:ligatures w14:val="none"/>
        </w:rPr>
        <w:t> , en este sentido, logra examinar detenidamente las diversas raíces, o fuentes, de la encarnación profunda teorizada por </w:t>
      </w:r>
      <w:proofErr w:type="spellStart"/>
      <w:r w:rsidRPr="00707D13">
        <w:rPr>
          <w:rFonts w:ascii="Arial" w:eastAsia="Times New Roman" w:hAnsi="Arial" w:cs="Arial"/>
          <w:b/>
          <w:bCs/>
          <w:color w:val="333333"/>
          <w:kern w:val="0"/>
          <w:sz w:val="26"/>
          <w:szCs w:val="26"/>
          <w:lang w:eastAsia="es-UY"/>
          <w14:ligatures w14:val="none"/>
        </w:rPr>
        <w:t>Gregersen</w:t>
      </w:r>
      <w:proofErr w:type="spellEnd"/>
      <w:r w:rsidRPr="00707D13">
        <w:rPr>
          <w:rFonts w:ascii="Arial" w:eastAsia="Times New Roman" w:hAnsi="Arial" w:cs="Arial"/>
          <w:color w:val="333333"/>
          <w:kern w:val="0"/>
          <w:sz w:val="26"/>
          <w:szCs w:val="26"/>
          <w:lang w:eastAsia="es-UY"/>
          <w14:ligatures w14:val="none"/>
        </w:rPr>
        <w:t> . Por tanto, el autor destaca su conexión con la teología de la cruz de </w:t>
      </w:r>
      <w:r w:rsidRPr="00707D13">
        <w:rPr>
          <w:rFonts w:ascii="Arial" w:eastAsia="Times New Roman" w:hAnsi="Arial" w:cs="Arial"/>
          <w:b/>
          <w:bCs/>
          <w:color w:val="333333"/>
          <w:kern w:val="0"/>
          <w:sz w:val="26"/>
          <w:szCs w:val="26"/>
          <w:lang w:eastAsia="es-UY"/>
          <w14:ligatures w14:val="none"/>
        </w:rPr>
        <w:t>Lutero</w:t>
      </w:r>
      <w:r w:rsidRPr="00707D13">
        <w:rPr>
          <w:rFonts w:ascii="Arial" w:eastAsia="Times New Roman" w:hAnsi="Arial" w:cs="Arial"/>
          <w:color w:val="333333"/>
          <w:kern w:val="0"/>
          <w:sz w:val="26"/>
          <w:szCs w:val="26"/>
          <w:lang w:eastAsia="es-UY"/>
          <w14:ligatures w14:val="none"/>
        </w:rPr>
        <w:t> , con la ecología profunda de </w:t>
      </w:r>
      <w:r w:rsidRPr="00707D13">
        <w:rPr>
          <w:rFonts w:ascii="Arial" w:eastAsia="Times New Roman" w:hAnsi="Arial" w:cs="Arial"/>
          <w:b/>
          <w:bCs/>
          <w:color w:val="333333"/>
          <w:kern w:val="0"/>
          <w:sz w:val="26"/>
          <w:szCs w:val="26"/>
          <w:lang w:eastAsia="es-UY"/>
          <w14:ligatures w14:val="none"/>
        </w:rPr>
        <w:t xml:space="preserve">Arne </w:t>
      </w:r>
      <w:proofErr w:type="spellStart"/>
      <w:r w:rsidRPr="00707D13">
        <w:rPr>
          <w:rFonts w:ascii="Arial" w:eastAsia="Times New Roman" w:hAnsi="Arial" w:cs="Arial"/>
          <w:b/>
          <w:bCs/>
          <w:color w:val="333333"/>
          <w:kern w:val="0"/>
          <w:sz w:val="26"/>
          <w:szCs w:val="26"/>
          <w:lang w:eastAsia="es-UY"/>
          <w14:ligatures w14:val="none"/>
        </w:rPr>
        <w:t>Naess</w:t>
      </w:r>
      <w:proofErr w:type="spellEnd"/>
      <w:r w:rsidRPr="00707D13">
        <w:rPr>
          <w:rFonts w:ascii="Arial" w:eastAsia="Times New Roman" w:hAnsi="Arial" w:cs="Arial"/>
          <w:color w:val="333333"/>
          <w:kern w:val="0"/>
          <w:sz w:val="26"/>
          <w:szCs w:val="26"/>
          <w:lang w:eastAsia="es-UY"/>
          <w14:ligatures w14:val="none"/>
        </w:rPr>
        <w:t> , con las obras de </w:t>
      </w:r>
      <w:r w:rsidRPr="00707D13">
        <w:rPr>
          <w:rFonts w:ascii="Arial" w:eastAsia="Times New Roman" w:hAnsi="Arial" w:cs="Arial"/>
          <w:b/>
          <w:bCs/>
          <w:color w:val="333333"/>
          <w:kern w:val="0"/>
          <w:sz w:val="26"/>
          <w:szCs w:val="26"/>
          <w:lang w:eastAsia="es-UY"/>
          <w14:ligatures w14:val="none"/>
        </w:rPr>
        <w:t xml:space="preserve">Daniel Lord </w:t>
      </w:r>
      <w:proofErr w:type="spellStart"/>
      <w:r w:rsidRPr="00707D13">
        <w:rPr>
          <w:rFonts w:ascii="Arial" w:eastAsia="Times New Roman" w:hAnsi="Arial" w:cs="Arial"/>
          <w:b/>
          <w:bCs/>
          <w:color w:val="333333"/>
          <w:kern w:val="0"/>
          <w:sz w:val="26"/>
          <w:szCs w:val="26"/>
          <w:lang w:eastAsia="es-UY"/>
          <w14:ligatures w14:val="none"/>
        </w:rPr>
        <w:t>Smail</w:t>
      </w:r>
      <w:proofErr w:type="spellEnd"/>
      <w:r w:rsidRPr="00707D13">
        <w:rPr>
          <w:rFonts w:ascii="Arial" w:eastAsia="Times New Roman" w:hAnsi="Arial" w:cs="Arial"/>
          <w:color w:val="333333"/>
          <w:kern w:val="0"/>
          <w:sz w:val="26"/>
          <w:szCs w:val="26"/>
          <w:lang w:eastAsia="es-UY"/>
          <w14:ligatures w14:val="none"/>
        </w:rPr>
        <w:t> y </w:t>
      </w:r>
      <w:r w:rsidRPr="00707D13">
        <w:rPr>
          <w:rFonts w:ascii="Arial" w:eastAsia="Times New Roman" w:hAnsi="Arial" w:cs="Arial"/>
          <w:b/>
          <w:bCs/>
          <w:color w:val="333333"/>
          <w:kern w:val="0"/>
          <w:sz w:val="26"/>
          <w:szCs w:val="26"/>
          <w:lang w:eastAsia="es-UY"/>
          <w14:ligatures w14:val="none"/>
        </w:rPr>
        <w:t xml:space="preserve">Andrew </w:t>
      </w:r>
      <w:proofErr w:type="spellStart"/>
      <w:r w:rsidRPr="00707D13">
        <w:rPr>
          <w:rFonts w:ascii="Arial" w:eastAsia="Times New Roman" w:hAnsi="Arial" w:cs="Arial"/>
          <w:b/>
          <w:bCs/>
          <w:color w:val="333333"/>
          <w:kern w:val="0"/>
          <w:sz w:val="26"/>
          <w:szCs w:val="26"/>
          <w:lang w:eastAsia="es-UY"/>
          <w14:ligatures w14:val="none"/>
        </w:rPr>
        <w:t>Shyrock</w:t>
      </w:r>
      <w:proofErr w:type="spellEnd"/>
      <w:r w:rsidRPr="00707D13">
        <w:rPr>
          <w:rFonts w:ascii="Arial" w:eastAsia="Times New Roman" w:hAnsi="Arial" w:cs="Arial"/>
          <w:color w:val="333333"/>
          <w:kern w:val="0"/>
          <w:sz w:val="26"/>
          <w:szCs w:val="26"/>
          <w:lang w:eastAsia="es-UY"/>
          <w14:ligatures w14:val="none"/>
        </w:rPr>
        <w:t> sobre la historia profunda y, al menos en parte, con </w:t>
      </w:r>
      <w:hyperlink r:id="rId21" w:tgtFrame="_blank" w:history="1">
        <w:r w:rsidRPr="00707D13">
          <w:rPr>
            <w:rFonts w:ascii="Arial" w:eastAsia="Times New Roman" w:hAnsi="Arial" w:cs="Arial"/>
            <w:color w:val="FC6B01"/>
            <w:kern w:val="0"/>
            <w:sz w:val="26"/>
            <w:szCs w:val="26"/>
            <w:u w:val="single"/>
            <w:lang w:eastAsia="es-UY"/>
            <w14:ligatures w14:val="none"/>
          </w:rPr>
          <w:t xml:space="preserve">Jürgen </w:t>
        </w:r>
        <w:proofErr w:type="spellStart"/>
        <w:r w:rsidRPr="00707D13">
          <w:rPr>
            <w:rFonts w:ascii="Arial" w:eastAsia="Times New Roman" w:hAnsi="Arial" w:cs="Arial"/>
            <w:color w:val="FC6B01"/>
            <w:kern w:val="0"/>
            <w:sz w:val="26"/>
            <w:szCs w:val="26"/>
            <w:u w:val="single"/>
            <w:lang w:eastAsia="es-UY"/>
            <w14:ligatures w14:val="none"/>
          </w:rPr>
          <w:t>Moltmann</w:t>
        </w:r>
        <w:proofErr w:type="spellEnd"/>
      </w:hyperlink>
      <w:r w:rsidRPr="00707D13">
        <w:rPr>
          <w:rFonts w:ascii="Arial" w:eastAsia="Times New Roman" w:hAnsi="Arial" w:cs="Arial"/>
          <w:color w:val="333333"/>
          <w:kern w:val="0"/>
          <w:sz w:val="26"/>
          <w:szCs w:val="26"/>
          <w:lang w:eastAsia="es-UY"/>
          <w14:ligatures w14:val="none"/>
        </w:rPr>
        <w:t> , quien el propio danés define como “precocidad inspiradora”.</w:t>
      </w:r>
    </w:p>
    <w:p w14:paraId="06FD6B4B"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10902091"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La reflexión teológica de </w:t>
      </w:r>
      <w:proofErr w:type="spellStart"/>
      <w:r w:rsidRPr="00707D13">
        <w:rPr>
          <w:rFonts w:ascii="Arial" w:eastAsia="Times New Roman" w:hAnsi="Arial" w:cs="Arial"/>
          <w:b/>
          <w:bCs/>
          <w:color w:val="333333"/>
          <w:kern w:val="0"/>
          <w:sz w:val="26"/>
          <w:szCs w:val="26"/>
          <w:lang w:eastAsia="es-UY"/>
          <w14:ligatures w14:val="none"/>
        </w:rPr>
        <w:t>Gregersen</w:t>
      </w:r>
      <w:proofErr w:type="spellEnd"/>
      <w:r w:rsidRPr="00707D13">
        <w:rPr>
          <w:rFonts w:ascii="Arial" w:eastAsia="Times New Roman" w:hAnsi="Arial" w:cs="Arial"/>
          <w:color w:val="333333"/>
          <w:kern w:val="0"/>
          <w:sz w:val="26"/>
          <w:szCs w:val="26"/>
          <w:lang w:eastAsia="es-UY"/>
          <w14:ligatures w14:val="none"/>
        </w:rPr>
        <w:t> , en cualquier caso, es bastante articulada y abarca una variedad de temas que no pueden profundizarse, como el escándalo de la materia, la teodicea, el sufrimiento y la unicidad de Cristo desde la perspectiva de la teología de las religiones. Sin embargo, lo que hace del texto de </w:t>
      </w:r>
      <w:proofErr w:type="spellStart"/>
      <w:r w:rsidRPr="00707D13">
        <w:rPr>
          <w:rFonts w:ascii="Arial" w:eastAsia="Times New Roman" w:hAnsi="Arial" w:cs="Arial"/>
          <w:b/>
          <w:bCs/>
          <w:color w:val="333333"/>
          <w:kern w:val="0"/>
          <w:sz w:val="26"/>
          <w:szCs w:val="26"/>
          <w:lang w:eastAsia="es-UY"/>
          <w14:ligatures w14:val="none"/>
        </w:rPr>
        <w:t>Fenaroli</w:t>
      </w:r>
      <w:proofErr w:type="spellEnd"/>
      <w:r w:rsidRPr="00707D13">
        <w:rPr>
          <w:rFonts w:ascii="Arial" w:eastAsia="Times New Roman" w:hAnsi="Arial" w:cs="Arial"/>
          <w:color w:val="333333"/>
          <w:kern w:val="0"/>
          <w:sz w:val="26"/>
          <w:szCs w:val="26"/>
          <w:lang w:eastAsia="es-UY"/>
          <w14:ligatures w14:val="none"/>
        </w:rPr>
        <w:t> el primer ensayo sistemático sobre la encarnación profunda es que no se limita a analizar sólo la teología danesa, sino que también analiza a los demás exponentes de este movimiento.</w:t>
      </w:r>
    </w:p>
    <w:p w14:paraId="6ACBD9DE"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043E23F6"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Así, en las páginas del libro, encontramos resumida la obra de </w:t>
      </w:r>
      <w:hyperlink r:id="rId22" w:tgtFrame="_blank" w:history="1">
        <w:r w:rsidRPr="00707D13">
          <w:rPr>
            <w:rFonts w:ascii="Arial" w:eastAsia="Times New Roman" w:hAnsi="Arial" w:cs="Arial"/>
            <w:color w:val="FC6B01"/>
            <w:kern w:val="0"/>
            <w:sz w:val="26"/>
            <w:szCs w:val="26"/>
            <w:u w:val="single"/>
            <w:lang w:eastAsia="es-UY"/>
            <w14:ligatures w14:val="none"/>
          </w:rPr>
          <w:t xml:space="preserve">Christopher </w:t>
        </w:r>
        <w:proofErr w:type="spellStart"/>
        <w:r w:rsidRPr="00707D13">
          <w:rPr>
            <w:rFonts w:ascii="Arial" w:eastAsia="Times New Roman" w:hAnsi="Arial" w:cs="Arial"/>
            <w:color w:val="FC6B01"/>
            <w:kern w:val="0"/>
            <w:sz w:val="26"/>
            <w:szCs w:val="26"/>
            <w:u w:val="single"/>
            <w:lang w:eastAsia="es-UY"/>
            <w14:ligatures w14:val="none"/>
          </w:rPr>
          <w:t>Southgate</w:t>
        </w:r>
        <w:proofErr w:type="spellEnd"/>
      </w:hyperlink>
      <w:r w:rsidRPr="00707D13">
        <w:rPr>
          <w:rFonts w:ascii="Arial" w:eastAsia="Times New Roman" w:hAnsi="Arial" w:cs="Arial"/>
          <w:color w:val="333333"/>
          <w:kern w:val="0"/>
          <w:sz w:val="26"/>
          <w:szCs w:val="26"/>
          <w:lang w:eastAsia="es-UY"/>
          <w14:ligatures w14:val="none"/>
        </w:rPr>
        <w:t> y su profunda encarnación en clave de teodicea; la versión más orientada al reino animal de </w:t>
      </w:r>
      <w:r w:rsidRPr="00707D13">
        <w:rPr>
          <w:rFonts w:ascii="Arial" w:eastAsia="Times New Roman" w:hAnsi="Arial" w:cs="Arial"/>
          <w:b/>
          <w:bCs/>
          <w:color w:val="333333"/>
          <w:kern w:val="0"/>
          <w:sz w:val="26"/>
          <w:szCs w:val="26"/>
          <w:lang w:eastAsia="es-UY"/>
          <w14:ligatures w14:val="none"/>
        </w:rPr>
        <w:t>Denis Edwards</w:t>
      </w:r>
      <w:r w:rsidRPr="00707D13">
        <w:rPr>
          <w:rFonts w:ascii="Arial" w:eastAsia="Times New Roman" w:hAnsi="Arial" w:cs="Arial"/>
          <w:color w:val="333333"/>
          <w:kern w:val="0"/>
          <w:sz w:val="26"/>
          <w:szCs w:val="26"/>
          <w:lang w:eastAsia="es-UY"/>
          <w14:ligatures w14:val="none"/>
        </w:rPr>
        <w:t xml:space="preserve"> ; la comparación con la </w:t>
      </w:r>
      <w:proofErr w:type="spellStart"/>
      <w:r w:rsidRPr="00707D13">
        <w:rPr>
          <w:rFonts w:ascii="Arial" w:eastAsia="Times New Roman" w:hAnsi="Arial" w:cs="Arial"/>
          <w:color w:val="333333"/>
          <w:kern w:val="0"/>
          <w:sz w:val="26"/>
          <w:szCs w:val="26"/>
          <w:lang w:eastAsia="es-UY"/>
          <w14:ligatures w14:val="none"/>
        </w:rPr>
        <w:t>sofiología</w:t>
      </w:r>
      <w:proofErr w:type="spellEnd"/>
      <w:r w:rsidRPr="00707D13">
        <w:rPr>
          <w:rFonts w:ascii="Arial" w:eastAsia="Times New Roman" w:hAnsi="Arial" w:cs="Arial"/>
          <w:color w:val="333333"/>
          <w:kern w:val="0"/>
          <w:sz w:val="26"/>
          <w:szCs w:val="26"/>
          <w:lang w:eastAsia="es-UY"/>
          <w14:ligatures w14:val="none"/>
        </w:rPr>
        <w:t xml:space="preserve"> de </w:t>
      </w:r>
      <w:r w:rsidRPr="00707D13">
        <w:rPr>
          <w:rFonts w:ascii="Arial" w:eastAsia="Times New Roman" w:hAnsi="Arial" w:cs="Arial"/>
          <w:b/>
          <w:bCs/>
          <w:color w:val="333333"/>
          <w:kern w:val="0"/>
          <w:sz w:val="26"/>
          <w:szCs w:val="26"/>
          <w:lang w:eastAsia="es-UY"/>
          <w14:ligatures w14:val="none"/>
        </w:rPr>
        <w:t>Bulgákov</w:t>
      </w:r>
      <w:r w:rsidRPr="00707D13">
        <w:rPr>
          <w:rFonts w:ascii="Arial" w:eastAsia="Times New Roman" w:hAnsi="Arial" w:cs="Arial"/>
          <w:color w:val="333333"/>
          <w:kern w:val="0"/>
          <w:sz w:val="26"/>
          <w:szCs w:val="26"/>
          <w:lang w:eastAsia="es-UY"/>
          <w14:ligatures w14:val="none"/>
        </w:rPr>
        <w:t> realizada por </w:t>
      </w:r>
      <w:r w:rsidRPr="00707D13">
        <w:rPr>
          <w:rFonts w:ascii="Arial" w:eastAsia="Times New Roman" w:hAnsi="Arial" w:cs="Arial"/>
          <w:b/>
          <w:bCs/>
          <w:color w:val="333333"/>
          <w:kern w:val="0"/>
          <w:sz w:val="26"/>
          <w:szCs w:val="26"/>
          <w:lang w:eastAsia="es-UY"/>
          <w14:ligatures w14:val="none"/>
        </w:rPr>
        <w:t xml:space="preserve">Cecilia </w:t>
      </w:r>
      <w:proofErr w:type="spellStart"/>
      <w:r w:rsidRPr="00707D13">
        <w:rPr>
          <w:rFonts w:ascii="Arial" w:eastAsia="Times New Roman" w:hAnsi="Arial" w:cs="Arial"/>
          <w:b/>
          <w:bCs/>
          <w:color w:val="333333"/>
          <w:kern w:val="0"/>
          <w:sz w:val="26"/>
          <w:szCs w:val="26"/>
          <w:lang w:eastAsia="es-UY"/>
          <w14:ligatures w14:val="none"/>
        </w:rPr>
        <w:t>Deane</w:t>
      </w:r>
      <w:proofErr w:type="spellEnd"/>
      <w:r w:rsidRPr="00707D13">
        <w:rPr>
          <w:rFonts w:ascii="Arial" w:eastAsia="Times New Roman" w:hAnsi="Arial" w:cs="Arial"/>
          <w:b/>
          <w:bCs/>
          <w:color w:val="333333"/>
          <w:kern w:val="0"/>
          <w:sz w:val="26"/>
          <w:szCs w:val="26"/>
          <w:lang w:eastAsia="es-UY"/>
          <w14:ligatures w14:val="none"/>
        </w:rPr>
        <w:t>-Drummond</w:t>
      </w:r>
      <w:r w:rsidRPr="00707D13">
        <w:rPr>
          <w:rFonts w:ascii="Arial" w:eastAsia="Times New Roman" w:hAnsi="Arial" w:cs="Arial"/>
          <w:color w:val="333333"/>
          <w:kern w:val="0"/>
          <w:sz w:val="26"/>
          <w:szCs w:val="26"/>
          <w:lang w:eastAsia="es-UY"/>
          <w14:ligatures w14:val="none"/>
        </w:rPr>
        <w:t> ; y la marca feminista de </w:t>
      </w:r>
      <w:hyperlink r:id="rId23" w:tgtFrame="_blank" w:history="1">
        <w:r w:rsidRPr="00707D13">
          <w:rPr>
            <w:rFonts w:ascii="Arial" w:eastAsia="Times New Roman" w:hAnsi="Arial" w:cs="Arial"/>
            <w:color w:val="FC6B01"/>
            <w:kern w:val="0"/>
            <w:sz w:val="26"/>
            <w:szCs w:val="26"/>
            <w:u w:val="single"/>
            <w:lang w:eastAsia="es-UY"/>
            <w14:ligatures w14:val="none"/>
          </w:rPr>
          <w:t>Elisabeth Johnson</w:t>
        </w:r>
      </w:hyperlink>
      <w:r w:rsidRPr="00707D13">
        <w:rPr>
          <w:rFonts w:ascii="Arial" w:eastAsia="Times New Roman" w:hAnsi="Arial" w:cs="Arial"/>
          <w:color w:val="333333"/>
          <w:kern w:val="0"/>
          <w:sz w:val="26"/>
          <w:szCs w:val="26"/>
          <w:lang w:eastAsia="es-UY"/>
          <w14:ligatures w14:val="none"/>
        </w:rPr>
        <w:t> . Es gracias a este completo panorama que el ensayo de </w:t>
      </w:r>
      <w:proofErr w:type="spellStart"/>
      <w:r w:rsidRPr="00707D13">
        <w:rPr>
          <w:rFonts w:ascii="Arial" w:eastAsia="Times New Roman" w:hAnsi="Arial" w:cs="Arial"/>
          <w:b/>
          <w:bCs/>
          <w:color w:val="333333"/>
          <w:kern w:val="0"/>
          <w:sz w:val="26"/>
          <w:szCs w:val="26"/>
          <w:lang w:eastAsia="es-UY"/>
          <w14:ligatures w14:val="none"/>
        </w:rPr>
        <w:t>Fenaroli</w:t>
      </w:r>
      <w:proofErr w:type="spellEnd"/>
      <w:r w:rsidRPr="00707D13">
        <w:rPr>
          <w:rFonts w:ascii="Arial" w:eastAsia="Times New Roman" w:hAnsi="Arial" w:cs="Arial"/>
          <w:color w:val="333333"/>
          <w:kern w:val="0"/>
          <w:sz w:val="26"/>
          <w:szCs w:val="26"/>
          <w:lang w:eastAsia="es-UY"/>
          <w14:ligatures w14:val="none"/>
        </w:rPr>
        <w:t> , además de ser una presentación sistemática, también puede considerarse una especie de relato de encarnación profunda.</w:t>
      </w:r>
    </w:p>
    <w:p w14:paraId="175F8881"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5EF63A34" w14:textId="77777777" w:rsidR="00707D13" w:rsidRPr="00707D13" w:rsidRDefault="00707D13" w:rsidP="00707D13">
      <w:pPr>
        <w:spacing w:after="0" w:line="240" w:lineRule="auto"/>
        <w:jc w:val="both"/>
        <w:outlineLvl w:val="1"/>
        <w:rPr>
          <w:rFonts w:ascii="Arial" w:eastAsia="Times New Roman" w:hAnsi="Arial" w:cs="Arial"/>
          <w:b/>
          <w:bCs/>
          <w:color w:val="333333"/>
          <w:kern w:val="0"/>
          <w:sz w:val="36"/>
          <w:szCs w:val="36"/>
          <w:lang w:eastAsia="es-UY"/>
          <w14:ligatures w14:val="none"/>
        </w:rPr>
      </w:pPr>
      <w:r w:rsidRPr="00707D13">
        <w:rPr>
          <w:rFonts w:ascii="Arial" w:eastAsia="Times New Roman" w:hAnsi="Arial" w:cs="Arial"/>
          <w:b/>
          <w:bCs/>
          <w:color w:val="333333"/>
          <w:kern w:val="0"/>
          <w:sz w:val="36"/>
          <w:szCs w:val="36"/>
          <w:lang w:eastAsia="es-UY"/>
          <w14:ligatures w14:val="none"/>
        </w:rPr>
        <w:t xml:space="preserve">Un diálogo (crítico) con </w:t>
      </w:r>
      <w:proofErr w:type="spellStart"/>
      <w:r w:rsidRPr="00707D13">
        <w:rPr>
          <w:rFonts w:ascii="Arial" w:eastAsia="Times New Roman" w:hAnsi="Arial" w:cs="Arial"/>
          <w:b/>
          <w:bCs/>
          <w:color w:val="333333"/>
          <w:kern w:val="0"/>
          <w:sz w:val="36"/>
          <w:szCs w:val="36"/>
          <w:lang w:eastAsia="es-UY"/>
          <w14:ligatures w14:val="none"/>
        </w:rPr>
        <w:t>Gamberini</w:t>
      </w:r>
      <w:proofErr w:type="spellEnd"/>
    </w:p>
    <w:p w14:paraId="2723D2AE"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Un libro reciente del jesuita </w:t>
      </w:r>
      <w:r w:rsidRPr="00707D13">
        <w:rPr>
          <w:rFonts w:ascii="Arial" w:eastAsia="Times New Roman" w:hAnsi="Arial" w:cs="Arial"/>
          <w:b/>
          <w:bCs/>
          <w:color w:val="333333"/>
          <w:kern w:val="0"/>
          <w:sz w:val="26"/>
          <w:szCs w:val="26"/>
          <w:lang w:eastAsia="es-UY"/>
          <w14:ligatures w14:val="none"/>
        </w:rPr>
        <w:t xml:space="preserve">Paolo </w:t>
      </w:r>
      <w:proofErr w:type="spellStart"/>
      <w:r w:rsidRPr="00707D13">
        <w:rPr>
          <w:rFonts w:ascii="Arial" w:eastAsia="Times New Roman" w:hAnsi="Arial" w:cs="Arial"/>
          <w:b/>
          <w:bCs/>
          <w:color w:val="333333"/>
          <w:kern w:val="0"/>
          <w:sz w:val="26"/>
          <w:szCs w:val="26"/>
          <w:lang w:eastAsia="es-UY"/>
          <w14:ligatures w14:val="none"/>
        </w:rPr>
        <w:t>Gamberini</w:t>
      </w:r>
      <w:proofErr w:type="spellEnd"/>
      <w:r w:rsidRPr="00707D13">
        <w:rPr>
          <w:rFonts w:ascii="Arial" w:eastAsia="Times New Roman" w:hAnsi="Arial" w:cs="Arial"/>
          <w:color w:val="333333"/>
          <w:kern w:val="0"/>
          <w:sz w:val="26"/>
          <w:szCs w:val="26"/>
          <w:lang w:eastAsia="es-UY"/>
          <w14:ligatures w14:val="none"/>
        </w:rPr>
        <w:t> publicado por </w:t>
      </w:r>
      <w:r w:rsidRPr="00707D13">
        <w:rPr>
          <w:rFonts w:ascii="Arial" w:eastAsia="Times New Roman" w:hAnsi="Arial" w:cs="Arial"/>
          <w:b/>
          <w:bCs/>
          <w:color w:val="333333"/>
          <w:kern w:val="0"/>
          <w:sz w:val="26"/>
          <w:szCs w:val="26"/>
          <w:lang w:eastAsia="es-UY"/>
          <w14:ligatures w14:val="none"/>
        </w:rPr>
        <w:t>Gabrielli</w:t>
      </w:r>
      <w:r w:rsidRPr="00707D13">
        <w:rPr>
          <w:rFonts w:ascii="Arial" w:eastAsia="Times New Roman" w:hAnsi="Arial" w:cs="Arial"/>
          <w:color w:val="333333"/>
          <w:kern w:val="0"/>
          <w:sz w:val="26"/>
          <w:szCs w:val="26"/>
          <w:lang w:eastAsia="es-UY"/>
          <w14:ligatures w14:val="none"/>
        </w:rPr>
        <w:t> causó discusión : </w:t>
      </w:r>
      <w:r w:rsidRPr="00707D13">
        <w:rPr>
          <w:rFonts w:ascii="Arial" w:eastAsia="Times New Roman" w:hAnsi="Arial" w:cs="Arial"/>
          <w:b/>
          <w:bCs/>
          <w:color w:val="333333"/>
          <w:kern w:val="0"/>
          <w:sz w:val="26"/>
          <w:szCs w:val="26"/>
          <w:lang w:eastAsia="es-UY"/>
          <w14:ligatures w14:val="none"/>
        </w:rPr>
        <w:t xml:space="preserve">Deus </w:t>
      </w:r>
      <w:proofErr w:type="spellStart"/>
      <w:r w:rsidRPr="00707D13">
        <w:rPr>
          <w:rFonts w:ascii="Arial" w:eastAsia="Times New Roman" w:hAnsi="Arial" w:cs="Arial"/>
          <w:b/>
          <w:bCs/>
          <w:color w:val="333333"/>
          <w:kern w:val="0"/>
          <w:sz w:val="26"/>
          <w:szCs w:val="26"/>
          <w:lang w:eastAsia="es-UY"/>
          <w14:ligatures w14:val="none"/>
        </w:rPr>
        <w:t>duepuntozero</w:t>
      </w:r>
      <w:proofErr w:type="spellEnd"/>
      <w:r w:rsidRPr="00707D13">
        <w:rPr>
          <w:rFonts w:ascii="Arial" w:eastAsia="Times New Roman" w:hAnsi="Arial" w:cs="Arial"/>
          <w:color w:val="333333"/>
          <w:kern w:val="0"/>
          <w:sz w:val="26"/>
          <w:szCs w:val="26"/>
          <w:lang w:eastAsia="es-UY"/>
          <w14:ligatures w14:val="none"/>
        </w:rPr>
        <w:t> . </w:t>
      </w:r>
      <w:proofErr w:type="spellStart"/>
      <w:r w:rsidRPr="00707D13">
        <w:rPr>
          <w:rFonts w:ascii="Arial" w:eastAsia="Times New Roman" w:hAnsi="Arial" w:cs="Arial"/>
          <w:b/>
          <w:bCs/>
          <w:color w:val="333333"/>
          <w:kern w:val="0"/>
          <w:sz w:val="26"/>
          <w:szCs w:val="26"/>
          <w:lang w:eastAsia="es-UY"/>
          <w14:ligatures w14:val="none"/>
        </w:rPr>
        <w:t>Fenaroli</w:t>
      </w:r>
      <w:proofErr w:type="spellEnd"/>
      <w:r w:rsidRPr="00707D13">
        <w:rPr>
          <w:rFonts w:ascii="Arial" w:eastAsia="Times New Roman" w:hAnsi="Arial" w:cs="Arial"/>
          <w:color w:val="333333"/>
          <w:kern w:val="0"/>
          <w:sz w:val="26"/>
          <w:szCs w:val="26"/>
          <w:lang w:eastAsia="es-UY"/>
          <w14:ligatures w14:val="none"/>
        </w:rPr>
        <w:t> , sin querer entrar en un debate polémico con él, dedicó la segunda sección de su libro a una comparación crítica con su visión, llamándola “enfrentamientos”.</w:t>
      </w:r>
    </w:p>
    <w:p w14:paraId="2456255E"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lastRenderedPageBreak/>
        <w:t>El autor declara que investigó las posiciones de </w:t>
      </w:r>
      <w:proofErr w:type="spellStart"/>
      <w:r w:rsidRPr="00707D13">
        <w:rPr>
          <w:rFonts w:ascii="Arial" w:eastAsia="Times New Roman" w:hAnsi="Arial" w:cs="Arial"/>
          <w:b/>
          <w:bCs/>
          <w:color w:val="333333"/>
          <w:kern w:val="0"/>
          <w:sz w:val="26"/>
          <w:szCs w:val="26"/>
          <w:lang w:eastAsia="es-UY"/>
          <w14:ligatures w14:val="none"/>
        </w:rPr>
        <w:t>Gamberini</w:t>
      </w:r>
      <w:proofErr w:type="spellEnd"/>
      <w:r w:rsidRPr="00707D13">
        <w:rPr>
          <w:rFonts w:ascii="Arial" w:eastAsia="Times New Roman" w:hAnsi="Arial" w:cs="Arial"/>
          <w:color w:val="333333"/>
          <w:kern w:val="0"/>
          <w:sz w:val="26"/>
          <w:szCs w:val="26"/>
          <w:lang w:eastAsia="es-UY"/>
          <w14:ligatures w14:val="none"/>
        </w:rPr>
        <w:t> no para discutir con él, sino porque los temas de la encarnación profunda y del monismo relacional defendidos por el jesuita parecen cercanos. </w:t>
      </w:r>
      <w:proofErr w:type="spellStart"/>
      <w:r w:rsidRPr="00707D13">
        <w:rPr>
          <w:rFonts w:ascii="Arial" w:eastAsia="Times New Roman" w:hAnsi="Arial" w:cs="Arial"/>
          <w:b/>
          <w:bCs/>
          <w:color w:val="333333"/>
          <w:kern w:val="0"/>
          <w:sz w:val="26"/>
          <w:szCs w:val="26"/>
          <w:lang w:eastAsia="es-UY"/>
          <w14:ligatures w14:val="none"/>
        </w:rPr>
        <w:t>Fenaroli</w:t>
      </w:r>
      <w:proofErr w:type="spellEnd"/>
      <w:r w:rsidRPr="00707D13">
        <w:rPr>
          <w:rFonts w:ascii="Arial" w:eastAsia="Times New Roman" w:hAnsi="Arial" w:cs="Arial"/>
          <w:color w:val="333333"/>
          <w:kern w:val="0"/>
          <w:sz w:val="26"/>
          <w:szCs w:val="26"/>
          <w:lang w:eastAsia="es-UY"/>
          <w14:ligatures w14:val="none"/>
        </w:rPr>
        <w:t> intenta demostrar que la encarnación profunda es el argumento más eficaz para responder -o corregir- al monismo relacional teorizado por el jesuita. Evitando prejuicios o controversias a priori, intenta demostrar que la posición de </w:t>
      </w:r>
      <w:proofErr w:type="spellStart"/>
      <w:r w:rsidRPr="00707D13">
        <w:rPr>
          <w:rFonts w:ascii="Arial" w:eastAsia="Times New Roman" w:hAnsi="Arial" w:cs="Arial"/>
          <w:b/>
          <w:bCs/>
          <w:color w:val="333333"/>
          <w:kern w:val="0"/>
          <w:sz w:val="26"/>
          <w:szCs w:val="26"/>
          <w:lang w:eastAsia="es-UY"/>
          <w14:ligatures w14:val="none"/>
        </w:rPr>
        <w:t>Gamberini</w:t>
      </w:r>
      <w:proofErr w:type="spellEnd"/>
      <w:r w:rsidRPr="00707D13">
        <w:rPr>
          <w:rFonts w:ascii="Arial" w:eastAsia="Times New Roman" w:hAnsi="Arial" w:cs="Arial"/>
          <w:color w:val="333333"/>
          <w:kern w:val="0"/>
          <w:sz w:val="26"/>
          <w:szCs w:val="26"/>
          <w:lang w:eastAsia="es-UY"/>
          <w14:ligatures w14:val="none"/>
        </w:rPr>
        <w:t> es demasiado desequilibrada en favor del monismo, frente a la encarnación profunda, cuyo </w:t>
      </w:r>
      <w:r w:rsidRPr="00707D13">
        <w:rPr>
          <w:rFonts w:ascii="Arial" w:eastAsia="Times New Roman" w:hAnsi="Arial" w:cs="Arial"/>
          <w:b/>
          <w:bCs/>
          <w:color w:val="333333"/>
          <w:kern w:val="0"/>
          <w:sz w:val="26"/>
          <w:szCs w:val="26"/>
          <w:lang w:eastAsia="es-UY"/>
          <w14:ligatures w14:val="none"/>
        </w:rPr>
        <w:t>panenteísmo</w:t>
      </w:r>
      <w:r w:rsidRPr="00707D13">
        <w:rPr>
          <w:rFonts w:ascii="Arial" w:eastAsia="Times New Roman" w:hAnsi="Arial" w:cs="Arial"/>
          <w:color w:val="333333"/>
          <w:kern w:val="0"/>
          <w:sz w:val="26"/>
          <w:szCs w:val="26"/>
          <w:lang w:eastAsia="es-UY"/>
          <w14:ligatures w14:val="none"/>
        </w:rPr>
        <w:t> demuestra un gran equilibrio y atención doctrinal. Sin embargo, </w:t>
      </w:r>
      <w:proofErr w:type="spellStart"/>
      <w:r w:rsidRPr="00707D13">
        <w:rPr>
          <w:rFonts w:ascii="Arial" w:eastAsia="Times New Roman" w:hAnsi="Arial" w:cs="Arial"/>
          <w:b/>
          <w:bCs/>
          <w:color w:val="333333"/>
          <w:kern w:val="0"/>
          <w:sz w:val="26"/>
          <w:szCs w:val="26"/>
          <w:lang w:eastAsia="es-UY"/>
          <w14:ligatures w14:val="none"/>
        </w:rPr>
        <w:t>Fenaroli</w:t>
      </w:r>
      <w:proofErr w:type="spellEnd"/>
      <w:r w:rsidRPr="00707D13">
        <w:rPr>
          <w:rFonts w:ascii="Arial" w:eastAsia="Times New Roman" w:hAnsi="Arial" w:cs="Arial"/>
          <w:color w:val="333333"/>
          <w:kern w:val="0"/>
          <w:sz w:val="26"/>
          <w:szCs w:val="26"/>
          <w:lang w:eastAsia="es-UY"/>
          <w14:ligatures w14:val="none"/>
        </w:rPr>
        <w:t> reconstruye apropiadamente primero las fuentes de la teología de </w:t>
      </w:r>
      <w:proofErr w:type="spellStart"/>
      <w:r w:rsidRPr="00707D13">
        <w:rPr>
          <w:rFonts w:ascii="Arial" w:eastAsia="Times New Roman" w:hAnsi="Arial" w:cs="Arial"/>
          <w:b/>
          <w:bCs/>
          <w:color w:val="333333"/>
          <w:kern w:val="0"/>
          <w:sz w:val="26"/>
          <w:szCs w:val="26"/>
          <w:lang w:eastAsia="es-UY"/>
          <w14:ligatures w14:val="none"/>
        </w:rPr>
        <w:t>Gamberini</w:t>
      </w:r>
      <w:proofErr w:type="spellEnd"/>
      <w:r w:rsidRPr="00707D13">
        <w:rPr>
          <w:rFonts w:ascii="Arial" w:eastAsia="Times New Roman" w:hAnsi="Arial" w:cs="Arial"/>
          <w:color w:val="333333"/>
          <w:kern w:val="0"/>
          <w:sz w:val="26"/>
          <w:szCs w:val="26"/>
          <w:lang w:eastAsia="es-UY"/>
          <w14:ligatures w14:val="none"/>
        </w:rPr>
        <w:t> y sus intenciones, y sólo entonces desarrolla reservas críticas a su punto de vista basadas en afirmaciones de una encarnación profunda. Precisamente destaca cómo la intención del jesuita retoma un proyecto ambicioso: el de tender a un nuevo </w:t>
      </w:r>
      <w:r w:rsidRPr="00707D13">
        <w:rPr>
          <w:rFonts w:ascii="Arial" w:eastAsia="Times New Roman" w:hAnsi="Arial" w:cs="Arial"/>
          <w:i/>
          <w:iCs/>
          <w:color w:val="333333"/>
          <w:kern w:val="0"/>
          <w:sz w:val="26"/>
          <w:szCs w:val="26"/>
          <w:lang w:eastAsia="es-UY"/>
          <w14:ligatures w14:val="none"/>
        </w:rPr>
        <w:t>logos</w:t>
      </w:r>
      <w:r w:rsidRPr="00707D13">
        <w:rPr>
          <w:rFonts w:ascii="Arial" w:eastAsia="Times New Roman" w:hAnsi="Arial" w:cs="Arial"/>
          <w:color w:val="333333"/>
          <w:kern w:val="0"/>
          <w:sz w:val="26"/>
          <w:szCs w:val="26"/>
          <w:lang w:eastAsia="es-UY"/>
          <w14:ligatures w14:val="none"/>
        </w:rPr>
        <w:t> para la teología. En definitiva, cabe destacar su intención de crear un nuevo paradigma y el deseo de crear un pensamiento transgresor, es decir, capaz de superar estereotipos religioso-culturales y rigideces conceptuales.</w:t>
      </w:r>
    </w:p>
    <w:p w14:paraId="0F1D3961"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17E45DEB"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En cuanto a las fuentes en las que se basa esta operación teológica, </w:t>
      </w:r>
      <w:proofErr w:type="spellStart"/>
      <w:r w:rsidRPr="00707D13">
        <w:rPr>
          <w:rFonts w:ascii="Arial" w:eastAsia="Times New Roman" w:hAnsi="Arial" w:cs="Arial"/>
          <w:b/>
          <w:bCs/>
          <w:color w:val="333333"/>
          <w:kern w:val="0"/>
          <w:sz w:val="26"/>
          <w:szCs w:val="26"/>
          <w:lang w:eastAsia="es-UY"/>
          <w14:ligatures w14:val="none"/>
        </w:rPr>
        <w:t>Fenaroli</w:t>
      </w:r>
      <w:proofErr w:type="spellEnd"/>
      <w:r w:rsidRPr="00707D13">
        <w:rPr>
          <w:rFonts w:ascii="Arial" w:eastAsia="Times New Roman" w:hAnsi="Arial" w:cs="Arial"/>
          <w:color w:val="333333"/>
          <w:kern w:val="0"/>
          <w:sz w:val="26"/>
          <w:szCs w:val="26"/>
          <w:lang w:eastAsia="es-UY"/>
          <w14:ligatures w14:val="none"/>
        </w:rPr>
        <w:t> las identifica en la crítica a la analogía presente en el pensamiento de </w:t>
      </w:r>
      <w:hyperlink r:id="rId24" w:tgtFrame="_blank" w:history="1">
        <w:r w:rsidRPr="00707D13">
          <w:rPr>
            <w:rFonts w:ascii="Arial" w:eastAsia="Times New Roman" w:hAnsi="Arial" w:cs="Arial"/>
            <w:color w:val="FC6B01"/>
            <w:kern w:val="0"/>
            <w:sz w:val="26"/>
            <w:szCs w:val="26"/>
            <w:u w:val="single"/>
            <w:lang w:eastAsia="es-UY"/>
            <w14:ligatures w14:val="none"/>
          </w:rPr>
          <w:t xml:space="preserve">Eberhard </w:t>
        </w:r>
        <w:proofErr w:type="spellStart"/>
        <w:r w:rsidRPr="00707D13">
          <w:rPr>
            <w:rFonts w:ascii="Arial" w:eastAsia="Times New Roman" w:hAnsi="Arial" w:cs="Arial"/>
            <w:color w:val="FC6B01"/>
            <w:kern w:val="0"/>
            <w:sz w:val="26"/>
            <w:szCs w:val="26"/>
            <w:u w:val="single"/>
            <w:lang w:eastAsia="es-UY"/>
            <w14:ligatures w14:val="none"/>
          </w:rPr>
          <w:t>Jüngel</w:t>
        </w:r>
        <w:proofErr w:type="spellEnd"/>
      </w:hyperlink>
      <w:r w:rsidRPr="00707D13">
        <w:rPr>
          <w:rFonts w:ascii="Arial" w:eastAsia="Times New Roman" w:hAnsi="Arial" w:cs="Arial"/>
          <w:color w:val="333333"/>
          <w:kern w:val="0"/>
          <w:sz w:val="26"/>
          <w:szCs w:val="26"/>
          <w:lang w:eastAsia="es-UY"/>
          <w14:ligatures w14:val="none"/>
        </w:rPr>
        <w:t> y en la crítica al sustancialismo ontológico. De la combinación de ambos, </w:t>
      </w:r>
      <w:proofErr w:type="spellStart"/>
      <w:r w:rsidRPr="00707D13">
        <w:rPr>
          <w:rFonts w:ascii="Arial" w:eastAsia="Times New Roman" w:hAnsi="Arial" w:cs="Arial"/>
          <w:b/>
          <w:bCs/>
          <w:color w:val="333333"/>
          <w:kern w:val="0"/>
          <w:sz w:val="26"/>
          <w:szCs w:val="26"/>
          <w:lang w:eastAsia="es-UY"/>
          <w14:ligatures w14:val="none"/>
        </w:rPr>
        <w:t>Gamberini</w:t>
      </w:r>
      <w:proofErr w:type="spellEnd"/>
      <w:r w:rsidRPr="00707D13">
        <w:rPr>
          <w:rFonts w:ascii="Arial" w:eastAsia="Times New Roman" w:hAnsi="Arial" w:cs="Arial"/>
          <w:color w:val="333333"/>
          <w:kern w:val="0"/>
          <w:sz w:val="26"/>
          <w:szCs w:val="26"/>
          <w:lang w:eastAsia="es-UY"/>
          <w14:ligatures w14:val="none"/>
        </w:rPr>
        <w:t> habría derivado la necesidad de pensar la relación entre lo humano y lo divino en clave relacional, y no sustancial.</w:t>
      </w:r>
    </w:p>
    <w:p w14:paraId="753E3F32"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2EF3C0E3"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La reflexión del jesuita, por tanto, procede de </w:t>
      </w:r>
      <w:proofErr w:type="spellStart"/>
      <w:r w:rsidRPr="00707D13">
        <w:rPr>
          <w:rFonts w:ascii="Arial" w:eastAsia="Times New Roman" w:hAnsi="Arial" w:cs="Arial"/>
          <w:b/>
          <w:bCs/>
          <w:color w:val="333333"/>
          <w:kern w:val="0"/>
          <w:sz w:val="26"/>
          <w:szCs w:val="26"/>
          <w:lang w:eastAsia="es-UY"/>
          <w14:ligatures w14:val="none"/>
        </w:rPr>
        <w:t>Jüngel</w:t>
      </w:r>
      <w:proofErr w:type="spellEnd"/>
      <w:r w:rsidRPr="00707D13">
        <w:rPr>
          <w:rFonts w:ascii="Arial" w:eastAsia="Times New Roman" w:hAnsi="Arial" w:cs="Arial"/>
          <w:color w:val="333333"/>
          <w:kern w:val="0"/>
          <w:sz w:val="26"/>
          <w:szCs w:val="26"/>
          <w:lang w:eastAsia="es-UY"/>
          <w14:ligatures w14:val="none"/>
        </w:rPr>
        <w:t> . Este último, fiel discípulo de </w:t>
      </w:r>
      <w:proofErr w:type="gramStart"/>
      <w:r w:rsidRPr="00707D13">
        <w:rPr>
          <w:rFonts w:ascii="Arial" w:eastAsia="Times New Roman" w:hAnsi="Arial" w:cs="Arial"/>
          <w:b/>
          <w:bCs/>
          <w:color w:val="333333"/>
          <w:kern w:val="0"/>
          <w:sz w:val="26"/>
          <w:szCs w:val="26"/>
          <w:lang w:eastAsia="es-UY"/>
          <w14:ligatures w14:val="none"/>
        </w:rPr>
        <w:t>Barth</w:t>
      </w:r>
      <w:r w:rsidRPr="00707D13">
        <w:rPr>
          <w:rFonts w:ascii="Arial" w:eastAsia="Times New Roman" w:hAnsi="Arial" w:cs="Arial"/>
          <w:color w:val="333333"/>
          <w:kern w:val="0"/>
          <w:sz w:val="26"/>
          <w:szCs w:val="26"/>
          <w:lang w:eastAsia="es-UY"/>
          <w14:ligatures w14:val="none"/>
        </w:rPr>
        <w:t> ,</w:t>
      </w:r>
      <w:proofErr w:type="gramEnd"/>
      <w:r w:rsidRPr="00707D13">
        <w:rPr>
          <w:rFonts w:ascii="Arial" w:eastAsia="Times New Roman" w:hAnsi="Arial" w:cs="Arial"/>
          <w:color w:val="333333"/>
          <w:kern w:val="0"/>
          <w:sz w:val="26"/>
          <w:szCs w:val="26"/>
          <w:lang w:eastAsia="es-UY"/>
          <w14:ligatures w14:val="none"/>
        </w:rPr>
        <w:t xml:space="preserve"> cree que Dios sólo puede ser pensado a partir de su Palabra/revelación, y no regresando a él por medios inductivos o trascendentales, como hacen las religiones.</w:t>
      </w:r>
    </w:p>
    <w:p w14:paraId="7D923CB0"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583B8700"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Si el lenguaje humano se vuelve capaz de expresar el ser de Dios, es precisamente porque, según los alemanes, Dios mismo llega al lenguaje (cf. 358). Tal condición se convierte en la premisa de una relación y una experiencia que </w:t>
      </w:r>
      <w:proofErr w:type="spellStart"/>
      <w:r w:rsidRPr="00707D13">
        <w:rPr>
          <w:rFonts w:ascii="Arial" w:eastAsia="Times New Roman" w:hAnsi="Arial" w:cs="Arial"/>
          <w:b/>
          <w:bCs/>
          <w:color w:val="333333"/>
          <w:kern w:val="0"/>
          <w:sz w:val="26"/>
          <w:szCs w:val="26"/>
          <w:lang w:eastAsia="es-UY"/>
          <w14:ligatures w14:val="none"/>
        </w:rPr>
        <w:t>Gamberini</w:t>
      </w:r>
      <w:proofErr w:type="spellEnd"/>
      <w:r w:rsidRPr="00707D13">
        <w:rPr>
          <w:rFonts w:ascii="Arial" w:eastAsia="Times New Roman" w:hAnsi="Arial" w:cs="Arial"/>
          <w:color w:val="333333"/>
          <w:kern w:val="0"/>
          <w:sz w:val="26"/>
          <w:szCs w:val="26"/>
          <w:lang w:eastAsia="es-UY"/>
          <w14:ligatures w14:val="none"/>
        </w:rPr>
        <w:t> utiliza para superar la ontología sustancial, reemplazándola por una ontología relacional.</w:t>
      </w:r>
    </w:p>
    <w:p w14:paraId="226136F7"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7EB6F03A"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Así, la creación se describe como una relación entre Dios y el mundo, en la que Jesús de Nazaret encarna la relación </w:t>
      </w:r>
      <w:hyperlink r:id="rId25" w:tgtFrame="_blank" w:history="1">
        <w:r w:rsidRPr="00707D13">
          <w:rPr>
            <w:rFonts w:ascii="Arial" w:eastAsia="Times New Roman" w:hAnsi="Arial" w:cs="Arial"/>
            <w:color w:val="FC6B01"/>
            <w:kern w:val="0"/>
            <w:sz w:val="26"/>
            <w:szCs w:val="26"/>
            <w:u w:val="single"/>
            <w:lang w:eastAsia="es-UY"/>
            <w14:ligatures w14:val="none"/>
          </w:rPr>
          <w:t>ad extra de Dios</w:t>
        </w:r>
      </w:hyperlink>
      <w:r w:rsidRPr="00707D13">
        <w:rPr>
          <w:rFonts w:ascii="Arial" w:eastAsia="Times New Roman" w:hAnsi="Arial" w:cs="Arial"/>
          <w:color w:val="333333"/>
          <w:kern w:val="0"/>
          <w:sz w:val="26"/>
          <w:szCs w:val="26"/>
          <w:lang w:eastAsia="es-UY"/>
          <w14:ligatures w14:val="none"/>
        </w:rPr>
        <w:t> . A partir de esta comunicabilidad se prefigura así una identidad fundamental entre el Verbo y la creación.</w:t>
      </w:r>
    </w:p>
    <w:p w14:paraId="6E007B93"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4B2ACA1F"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En su síntesis, </w:t>
      </w:r>
      <w:proofErr w:type="spellStart"/>
      <w:r w:rsidRPr="00707D13">
        <w:rPr>
          <w:rFonts w:ascii="Arial" w:eastAsia="Times New Roman" w:hAnsi="Arial" w:cs="Arial"/>
          <w:b/>
          <w:bCs/>
          <w:color w:val="333333"/>
          <w:kern w:val="0"/>
          <w:sz w:val="26"/>
          <w:szCs w:val="26"/>
          <w:lang w:eastAsia="es-UY"/>
          <w14:ligatures w14:val="none"/>
        </w:rPr>
        <w:t>Fenaroli</w:t>
      </w:r>
      <w:proofErr w:type="spellEnd"/>
      <w:r w:rsidRPr="00707D13">
        <w:rPr>
          <w:rFonts w:ascii="Arial" w:eastAsia="Times New Roman" w:hAnsi="Arial" w:cs="Arial"/>
          <w:color w:val="333333"/>
          <w:kern w:val="0"/>
          <w:sz w:val="26"/>
          <w:szCs w:val="26"/>
          <w:lang w:eastAsia="es-UY"/>
          <w14:ligatures w14:val="none"/>
        </w:rPr>
        <w:t> no cuestiona la reflexión de </w:t>
      </w:r>
      <w:proofErr w:type="spellStart"/>
      <w:r w:rsidRPr="00707D13">
        <w:rPr>
          <w:rFonts w:ascii="Arial" w:eastAsia="Times New Roman" w:hAnsi="Arial" w:cs="Arial"/>
          <w:b/>
          <w:bCs/>
          <w:color w:val="333333"/>
          <w:kern w:val="0"/>
          <w:sz w:val="26"/>
          <w:szCs w:val="26"/>
          <w:lang w:eastAsia="es-UY"/>
          <w14:ligatures w14:val="none"/>
        </w:rPr>
        <w:t>Jüngel</w:t>
      </w:r>
      <w:proofErr w:type="spellEnd"/>
      <w:r w:rsidRPr="00707D13">
        <w:rPr>
          <w:rFonts w:ascii="Arial" w:eastAsia="Times New Roman" w:hAnsi="Arial" w:cs="Arial"/>
          <w:color w:val="333333"/>
          <w:kern w:val="0"/>
          <w:sz w:val="26"/>
          <w:szCs w:val="26"/>
          <w:lang w:eastAsia="es-UY"/>
          <w14:ligatures w14:val="none"/>
        </w:rPr>
        <w:t> sobre la analogía o la ontología relacional, pero critica los resultados escatológicos a los que llega </w:t>
      </w:r>
      <w:proofErr w:type="spellStart"/>
      <w:r w:rsidRPr="00707D13">
        <w:rPr>
          <w:rFonts w:ascii="Arial" w:eastAsia="Times New Roman" w:hAnsi="Arial" w:cs="Arial"/>
          <w:b/>
          <w:bCs/>
          <w:color w:val="333333"/>
          <w:kern w:val="0"/>
          <w:sz w:val="26"/>
          <w:szCs w:val="26"/>
          <w:lang w:eastAsia="es-UY"/>
          <w14:ligatures w14:val="none"/>
        </w:rPr>
        <w:t>Gamberini</w:t>
      </w:r>
      <w:proofErr w:type="spellEnd"/>
      <w:r w:rsidRPr="00707D13">
        <w:rPr>
          <w:rFonts w:ascii="Arial" w:eastAsia="Times New Roman" w:hAnsi="Arial" w:cs="Arial"/>
          <w:color w:val="333333"/>
          <w:kern w:val="0"/>
          <w:sz w:val="26"/>
          <w:szCs w:val="26"/>
          <w:lang w:eastAsia="es-UY"/>
          <w14:ligatures w14:val="none"/>
        </w:rPr>
        <w:t xml:space="preserve"> . Partiendo de la perspectiva similar pero diferente de la encarnación profunda, el autor desarrolla de hecho una </w:t>
      </w:r>
      <w:r w:rsidRPr="00707D13">
        <w:rPr>
          <w:rFonts w:ascii="Arial" w:eastAsia="Times New Roman" w:hAnsi="Arial" w:cs="Arial"/>
          <w:color w:val="333333"/>
          <w:kern w:val="0"/>
          <w:sz w:val="26"/>
          <w:szCs w:val="26"/>
          <w:lang w:eastAsia="es-UY"/>
          <w14:ligatures w14:val="none"/>
        </w:rPr>
        <w:lastRenderedPageBreak/>
        <w:t xml:space="preserve">crítica a esa transformación </w:t>
      </w:r>
      <w:proofErr w:type="spellStart"/>
      <w:r w:rsidRPr="00707D13">
        <w:rPr>
          <w:rFonts w:ascii="Arial" w:eastAsia="Times New Roman" w:hAnsi="Arial" w:cs="Arial"/>
          <w:color w:val="333333"/>
          <w:kern w:val="0"/>
          <w:sz w:val="26"/>
          <w:szCs w:val="26"/>
          <w:lang w:eastAsia="es-UY"/>
          <w14:ligatures w14:val="none"/>
        </w:rPr>
        <w:t>postteísta</w:t>
      </w:r>
      <w:proofErr w:type="spellEnd"/>
      <w:r w:rsidRPr="00707D13">
        <w:rPr>
          <w:rFonts w:ascii="Arial" w:eastAsia="Times New Roman" w:hAnsi="Arial" w:cs="Arial"/>
          <w:color w:val="333333"/>
          <w:kern w:val="0"/>
          <w:sz w:val="26"/>
          <w:szCs w:val="26"/>
          <w:lang w:eastAsia="es-UY"/>
          <w14:ligatures w14:val="none"/>
        </w:rPr>
        <w:t xml:space="preserve"> de la fe cristiana defendida por los jesuitas, que conduciría a una nueva creación en la que Dios, Espíritu, estará todo en todos (cf. 419).</w:t>
      </w:r>
    </w:p>
    <w:p w14:paraId="250F0CFA"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4398D437"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A este preciso monismo relativo, </w:t>
      </w:r>
      <w:proofErr w:type="spellStart"/>
      <w:r w:rsidRPr="00707D13">
        <w:rPr>
          <w:rFonts w:ascii="Arial" w:eastAsia="Times New Roman" w:hAnsi="Arial" w:cs="Arial"/>
          <w:b/>
          <w:bCs/>
          <w:color w:val="333333"/>
          <w:kern w:val="0"/>
          <w:sz w:val="26"/>
          <w:szCs w:val="26"/>
          <w:lang w:eastAsia="es-UY"/>
          <w14:ligatures w14:val="none"/>
        </w:rPr>
        <w:t>Fenaroli</w:t>
      </w:r>
      <w:proofErr w:type="spellEnd"/>
      <w:r w:rsidRPr="00707D13">
        <w:rPr>
          <w:rFonts w:ascii="Arial" w:eastAsia="Times New Roman" w:hAnsi="Arial" w:cs="Arial"/>
          <w:color w:val="333333"/>
          <w:kern w:val="0"/>
          <w:sz w:val="26"/>
          <w:szCs w:val="26"/>
          <w:lang w:eastAsia="es-UY"/>
          <w14:ligatures w14:val="none"/>
        </w:rPr>
        <w:t> opone la visión de </w:t>
      </w:r>
      <w:proofErr w:type="spellStart"/>
      <w:r w:rsidRPr="00707D13">
        <w:rPr>
          <w:rFonts w:ascii="Arial" w:eastAsia="Times New Roman" w:hAnsi="Arial" w:cs="Arial"/>
          <w:b/>
          <w:bCs/>
          <w:color w:val="333333"/>
          <w:kern w:val="0"/>
          <w:sz w:val="26"/>
          <w:szCs w:val="26"/>
          <w:lang w:eastAsia="es-UY"/>
          <w14:ligatures w14:val="none"/>
        </w:rPr>
        <w:t>Gregersen</w:t>
      </w:r>
      <w:proofErr w:type="spellEnd"/>
      <w:r w:rsidRPr="00707D13">
        <w:rPr>
          <w:rFonts w:ascii="Arial" w:eastAsia="Times New Roman" w:hAnsi="Arial" w:cs="Arial"/>
          <w:color w:val="333333"/>
          <w:kern w:val="0"/>
          <w:sz w:val="26"/>
          <w:szCs w:val="26"/>
          <w:lang w:eastAsia="es-UY"/>
          <w14:ligatures w14:val="none"/>
        </w:rPr>
        <w:t> , que, por el contrario, encuentra un discriminador “en las insuperables raíces históricas de la encarnación”. El autor añade, sin embargo, que </w:t>
      </w:r>
      <w:proofErr w:type="spellStart"/>
      <w:r w:rsidRPr="00707D13">
        <w:rPr>
          <w:rFonts w:ascii="Arial" w:eastAsia="Times New Roman" w:hAnsi="Arial" w:cs="Arial"/>
          <w:b/>
          <w:bCs/>
          <w:color w:val="333333"/>
          <w:kern w:val="0"/>
          <w:sz w:val="26"/>
          <w:szCs w:val="26"/>
          <w:lang w:eastAsia="es-UY"/>
          <w14:ligatures w14:val="none"/>
        </w:rPr>
        <w:t>Gamberini</w:t>
      </w:r>
      <w:proofErr w:type="spellEnd"/>
      <w:r w:rsidRPr="00707D13">
        <w:rPr>
          <w:rFonts w:ascii="Arial" w:eastAsia="Times New Roman" w:hAnsi="Arial" w:cs="Arial"/>
          <w:color w:val="333333"/>
          <w:kern w:val="0"/>
          <w:sz w:val="26"/>
          <w:szCs w:val="26"/>
          <w:lang w:eastAsia="es-UY"/>
          <w14:ligatures w14:val="none"/>
        </w:rPr>
        <w:t> “se mostró incapaz de preservar el peso de la libertad de cada uno - como determinación histórica de sí mismo frente a la verdad de Dios revelada en Jesús -, demasiado desequilibrado al entender a Dios como quien, en su estando él mismo ontológicamente relacionado con el mundo (x=</w:t>
      </w:r>
      <w:proofErr w:type="spellStart"/>
      <w:r w:rsidRPr="00707D13">
        <w:rPr>
          <w:rFonts w:ascii="Arial" w:eastAsia="Times New Roman" w:hAnsi="Arial" w:cs="Arial"/>
          <w:color w:val="333333"/>
          <w:kern w:val="0"/>
          <w:sz w:val="26"/>
          <w:szCs w:val="26"/>
          <w:lang w:eastAsia="es-UY"/>
          <w14:ligatures w14:val="none"/>
        </w:rPr>
        <w:t>x+y</w:t>
      </w:r>
      <w:proofErr w:type="spellEnd"/>
      <w:r w:rsidRPr="00707D13">
        <w:rPr>
          <w:rFonts w:ascii="Arial" w:eastAsia="Times New Roman" w:hAnsi="Arial" w:cs="Arial"/>
          <w:color w:val="333333"/>
          <w:kern w:val="0"/>
          <w:sz w:val="26"/>
          <w:szCs w:val="26"/>
          <w:lang w:eastAsia="es-UY"/>
          <w14:ligatures w14:val="none"/>
        </w:rPr>
        <w:t>), termina por aniquilarlo en sí mismo, en una unidad en la que se pierde toda relación real (y=0)” (504).</w:t>
      </w:r>
    </w:p>
    <w:p w14:paraId="1839B7C6"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59120A5C"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Es por estas consideraciones que el pensamiento de </w:t>
      </w:r>
      <w:proofErr w:type="spellStart"/>
      <w:r w:rsidRPr="00707D13">
        <w:rPr>
          <w:rFonts w:ascii="Arial" w:eastAsia="Times New Roman" w:hAnsi="Arial" w:cs="Arial"/>
          <w:b/>
          <w:bCs/>
          <w:color w:val="333333"/>
          <w:kern w:val="0"/>
          <w:sz w:val="26"/>
          <w:szCs w:val="26"/>
          <w:lang w:eastAsia="es-UY"/>
          <w14:ligatures w14:val="none"/>
        </w:rPr>
        <w:t>Gregersen</w:t>
      </w:r>
      <w:proofErr w:type="spellEnd"/>
      <w:r w:rsidRPr="00707D13">
        <w:rPr>
          <w:rFonts w:ascii="Arial" w:eastAsia="Times New Roman" w:hAnsi="Arial" w:cs="Arial"/>
          <w:color w:val="333333"/>
          <w:kern w:val="0"/>
          <w:sz w:val="26"/>
          <w:szCs w:val="26"/>
          <w:lang w:eastAsia="es-UY"/>
          <w14:ligatures w14:val="none"/>
        </w:rPr>
        <w:t> se presenta como una corrección y calibración de las posiciones de </w:t>
      </w:r>
      <w:proofErr w:type="spellStart"/>
      <w:r w:rsidRPr="00707D13">
        <w:rPr>
          <w:rFonts w:ascii="Arial" w:eastAsia="Times New Roman" w:hAnsi="Arial" w:cs="Arial"/>
          <w:b/>
          <w:bCs/>
          <w:color w:val="333333"/>
          <w:kern w:val="0"/>
          <w:sz w:val="26"/>
          <w:szCs w:val="26"/>
          <w:lang w:eastAsia="es-UY"/>
          <w14:ligatures w14:val="none"/>
        </w:rPr>
        <w:t>Gamberini</w:t>
      </w:r>
      <w:proofErr w:type="spellEnd"/>
      <w:r w:rsidRPr="00707D13">
        <w:rPr>
          <w:rFonts w:ascii="Arial" w:eastAsia="Times New Roman" w:hAnsi="Arial" w:cs="Arial"/>
          <w:color w:val="333333"/>
          <w:kern w:val="0"/>
          <w:sz w:val="26"/>
          <w:szCs w:val="26"/>
          <w:lang w:eastAsia="es-UY"/>
          <w14:ligatures w14:val="none"/>
        </w:rPr>
        <w:t> , a raíz de la convicción de que el danés “a partir precisamente de la singularidad de Jesús, perfila una nueva imagen de Dios, en volverse inclusivo y </w:t>
      </w:r>
      <w:proofErr w:type="spellStart"/>
      <w:r w:rsidRPr="00707D13">
        <w:rPr>
          <w:rFonts w:ascii="Arial" w:eastAsia="Times New Roman" w:hAnsi="Arial" w:cs="Arial"/>
          <w:b/>
          <w:bCs/>
          <w:color w:val="333333"/>
          <w:kern w:val="0"/>
          <w:sz w:val="26"/>
          <w:szCs w:val="26"/>
          <w:lang w:eastAsia="es-UY"/>
          <w14:ligatures w14:val="none"/>
        </w:rPr>
        <w:t>panenteísta</w:t>
      </w:r>
      <w:proofErr w:type="spellEnd"/>
      <w:r w:rsidRPr="00707D13">
        <w:rPr>
          <w:rFonts w:ascii="Arial" w:eastAsia="Times New Roman" w:hAnsi="Arial" w:cs="Arial"/>
          <w:color w:val="333333"/>
          <w:kern w:val="0"/>
          <w:sz w:val="26"/>
          <w:szCs w:val="26"/>
          <w:lang w:eastAsia="es-UY"/>
          <w14:ligatures w14:val="none"/>
        </w:rPr>
        <w:t> , pero en el que la libertad de la criatura se conserva realmente en su capacidad de decir la verdad de Dios, y por tanto puede encontrar su propio lugar, su propia realización en Él” (504).</w:t>
      </w:r>
    </w:p>
    <w:p w14:paraId="707C1D21"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24245719"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La principal crítica que se hace a la reflexión de </w:t>
      </w:r>
      <w:proofErr w:type="spellStart"/>
      <w:r w:rsidRPr="00707D13">
        <w:rPr>
          <w:rFonts w:ascii="Arial" w:eastAsia="Times New Roman" w:hAnsi="Arial" w:cs="Arial"/>
          <w:b/>
          <w:bCs/>
          <w:color w:val="333333"/>
          <w:kern w:val="0"/>
          <w:sz w:val="26"/>
          <w:szCs w:val="26"/>
          <w:lang w:eastAsia="es-UY"/>
          <w14:ligatures w14:val="none"/>
        </w:rPr>
        <w:t>Gamberini</w:t>
      </w:r>
      <w:proofErr w:type="spellEnd"/>
      <w:r w:rsidRPr="00707D13">
        <w:rPr>
          <w:rFonts w:ascii="Arial" w:eastAsia="Times New Roman" w:hAnsi="Arial" w:cs="Arial"/>
          <w:color w:val="333333"/>
          <w:kern w:val="0"/>
          <w:sz w:val="26"/>
          <w:szCs w:val="26"/>
          <w:lang w:eastAsia="es-UY"/>
          <w14:ligatures w14:val="none"/>
        </w:rPr>
        <w:t> se centra precisamente en la escatología, ya que no está ordenada, como en la mayoría de los Padres, a una divinización personalista. En efecto, para el jesuita el cumplimiento, en lugar de coincidir con una asunción del mundo creado en Dios, consistiría “en 'perderse', en aniquilarse en el Dios de la criatura, reconociendo sólo en la divinidad la posibilidad de todo. existiendo, y en nosotros, en la creación, simplemente 'nada'” (422).</w:t>
      </w:r>
    </w:p>
    <w:p w14:paraId="2D4D3BFC"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212E0E3C"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Diversos y diversos, sin embargo, son los temas de la teología de </w:t>
      </w:r>
      <w:proofErr w:type="spellStart"/>
      <w:r w:rsidRPr="00707D13">
        <w:rPr>
          <w:rFonts w:ascii="Arial" w:eastAsia="Times New Roman" w:hAnsi="Arial" w:cs="Arial"/>
          <w:b/>
          <w:bCs/>
          <w:color w:val="333333"/>
          <w:kern w:val="0"/>
          <w:sz w:val="26"/>
          <w:szCs w:val="26"/>
          <w:lang w:eastAsia="es-UY"/>
          <w14:ligatures w14:val="none"/>
        </w:rPr>
        <w:t>Gamberini</w:t>
      </w:r>
      <w:proofErr w:type="spellEnd"/>
      <w:r w:rsidRPr="00707D13">
        <w:rPr>
          <w:rFonts w:ascii="Arial" w:eastAsia="Times New Roman" w:hAnsi="Arial" w:cs="Arial"/>
          <w:color w:val="333333"/>
          <w:kern w:val="0"/>
          <w:sz w:val="26"/>
          <w:szCs w:val="26"/>
          <w:lang w:eastAsia="es-UY"/>
          <w14:ligatures w14:val="none"/>
        </w:rPr>
        <w:t> abordados por </w:t>
      </w:r>
      <w:proofErr w:type="spellStart"/>
      <w:r w:rsidRPr="00707D13">
        <w:rPr>
          <w:rFonts w:ascii="Arial" w:eastAsia="Times New Roman" w:hAnsi="Arial" w:cs="Arial"/>
          <w:b/>
          <w:bCs/>
          <w:color w:val="333333"/>
          <w:kern w:val="0"/>
          <w:sz w:val="26"/>
          <w:szCs w:val="26"/>
          <w:lang w:eastAsia="es-UY"/>
          <w14:ligatures w14:val="none"/>
        </w:rPr>
        <w:t>Fenaroli</w:t>
      </w:r>
      <w:proofErr w:type="spellEnd"/>
      <w:r w:rsidRPr="00707D13">
        <w:rPr>
          <w:rFonts w:ascii="Arial" w:eastAsia="Times New Roman" w:hAnsi="Arial" w:cs="Arial"/>
          <w:color w:val="333333"/>
          <w:kern w:val="0"/>
          <w:sz w:val="26"/>
          <w:szCs w:val="26"/>
          <w:lang w:eastAsia="es-UY"/>
          <w14:ligatures w14:val="none"/>
        </w:rPr>
        <w:t xml:space="preserve"> , como el concepto de resurrección, la diferencia entre Jesús y Cristo, el </w:t>
      </w:r>
      <w:proofErr w:type="spellStart"/>
      <w:r w:rsidRPr="00707D13">
        <w:rPr>
          <w:rFonts w:ascii="Arial" w:eastAsia="Times New Roman" w:hAnsi="Arial" w:cs="Arial"/>
          <w:color w:val="333333"/>
          <w:kern w:val="0"/>
          <w:sz w:val="26"/>
          <w:szCs w:val="26"/>
          <w:lang w:eastAsia="es-UY"/>
          <w14:ligatures w14:val="none"/>
        </w:rPr>
        <w:t>apofatismo</w:t>
      </w:r>
      <w:proofErr w:type="spellEnd"/>
      <w:r w:rsidRPr="00707D13">
        <w:rPr>
          <w:rFonts w:ascii="Arial" w:eastAsia="Times New Roman" w:hAnsi="Arial" w:cs="Arial"/>
          <w:color w:val="333333"/>
          <w:kern w:val="0"/>
          <w:sz w:val="26"/>
          <w:szCs w:val="26"/>
          <w:lang w:eastAsia="es-UY"/>
          <w14:ligatures w14:val="none"/>
        </w:rPr>
        <w:t xml:space="preserve"> subyacente y su lectura de la encarnación entendida como contrapartida de una relación que igualmente involucra a la humanidad (cf. 422-424).</w:t>
      </w:r>
    </w:p>
    <w:p w14:paraId="18B77DE4"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7EE4D774"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Aunque el autor no destaca esto, la perspectiva de </w:t>
      </w:r>
      <w:proofErr w:type="spellStart"/>
      <w:r w:rsidRPr="00707D13">
        <w:rPr>
          <w:rFonts w:ascii="Arial" w:eastAsia="Times New Roman" w:hAnsi="Arial" w:cs="Arial"/>
          <w:b/>
          <w:bCs/>
          <w:color w:val="333333"/>
          <w:kern w:val="0"/>
          <w:sz w:val="26"/>
          <w:szCs w:val="26"/>
          <w:lang w:eastAsia="es-UY"/>
          <w14:ligatures w14:val="none"/>
        </w:rPr>
        <w:t>Gamberini</w:t>
      </w:r>
      <w:proofErr w:type="spellEnd"/>
      <w:r w:rsidRPr="00707D13">
        <w:rPr>
          <w:rFonts w:ascii="Arial" w:eastAsia="Times New Roman" w:hAnsi="Arial" w:cs="Arial"/>
          <w:color w:val="333333"/>
          <w:kern w:val="0"/>
          <w:sz w:val="26"/>
          <w:szCs w:val="26"/>
          <w:lang w:eastAsia="es-UY"/>
          <w14:ligatures w14:val="none"/>
        </w:rPr>
        <w:t> es similar, cuando se analiza detenidamente, a los monismos indios, especialmente al del </w:t>
      </w:r>
      <w:proofErr w:type="spellStart"/>
      <w:r w:rsidRPr="00707D13">
        <w:rPr>
          <w:rFonts w:ascii="Arial" w:eastAsia="Times New Roman" w:hAnsi="Arial" w:cs="Arial"/>
          <w:b/>
          <w:bCs/>
          <w:i/>
          <w:iCs/>
          <w:color w:val="333333"/>
          <w:kern w:val="0"/>
          <w:sz w:val="26"/>
          <w:szCs w:val="26"/>
          <w:lang w:eastAsia="es-UY"/>
          <w14:ligatures w14:val="none"/>
        </w:rPr>
        <w:t>Advaita</w:t>
      </w:r>
      <w:proofErr w:type="spellEnd"/>
      <w:r w:rsidRPr="00707D13">
        <w:rPr>
          <w:rFonts w:ascii="Arial" w:eastAsia="Times New Roman" w:hAnsi="Arial" w:cs="Arial"/>
          <w:b/>
          <w:bCs/>
          <w:i/>
          <w:iCs/>
          <w:color w:val="333333"/>
          <w:kern w:val="0"/>
          <w:sz w:val="26"/>
          <w:szCs w:val="26"/>
          <w:lang w:eastAsia="es-UY"/>
          <w14:ligatures w14:val="none"/>
        </w:rPr>
        <w:t xml:space="preserve"> </w:t>
      </w:r>
      <w:proofErr w:type="spellStart"/>
      <w:r w:rsidRPr="00707D13">
        <w:rPr>
          <w:rFonts w:ascii="Arial" w:eastAsia="Times New Roman" w:hAnsi="Arial" w:cs="Arial"/>
          <w:b/>
          <w:bCs/>
          <w:i/>
          <w:iCs/>
          <w:color w:val="333333"/>
          <w:kern w:val="0"/>
          <w:sz w:val="26"/>
          <w:szCs w:val="26"/>
          <w:lang w:eastAsia="es-UY"/>
          <w14:ligatures w14:val="none"/>
        </w:rPr>
        <w:t>Vedanta</w:t>
      </w:r>
      <w:proofErr w:type="spellEnd"/>
      <w:r w:rsidRPr="00707D13">
        <w:rPr>
          <w:rFonts w:ascii="Arial" w:eastAsia="Times New Roman" w:hAnsi="Arial" w:cs="Arial"/>
          <w:color w:val="333333"/>
          <w:kern w:val="0"/>
          <w:sz w:val="26"/>
          <w:szCs w:val="26"/>
          <w:lang w:eastAsia="es-UY"/>
          <w14:ligatures w14:val="none"/>
        </w:rPr>
        <w:t xml:space="preserve"> . Esta perspectiva, si se sigue al pie de la letra, marcaría efectivamente el fin de todo personalismo cristiano. Sin embargo, se trata de un interesante camino de reflexión, aunque ya ha sido recorrido tanto por aquellos teólogos que dialogaron con la metafísica </w:t>
      </w:r>
      <w:proofErr w:type="spellStart"/>
      <w:r w:rsidRPr="00707D13">
        <w:rPr>
          <w:rFonts w:ascii="Arial" w:eastAsia="Times New Roman" w:hAnsi="Arial" w:cs="Arial"/>
          <w:color w:val="333333"/>
          <w:kern w:val="0"/>
          <w:sz w:val="26"/>
          <w:szCs w:val="26"/>
          <w:lang w:eastAsia="es-UY"/>
          <w14:ligatures w14:val="none"/>
        </w:rPr>
        <w:t>indobudista</w:t>
      </w:r>
      <w:proofErr w:type="spellEnd"/>
      <w:r w:rsidRPr="00707D13">
        <w:rPr>
          <w:rFonts w:ascii="Arial" w:eastAsia="Times New Roman" w:hAnsi="Arial" w:cs="Arial"/>
          <w:color w:val="333333"/>
          <w:kern w:val="0"/>
          <w:sz w:val="26"/>
          <w:szCs w:val="26"/>
          <w:lang w:eastAsia="es-UY"/>
          <w14:ligatures w14:val="none"/>
        </w:rPr>
        <w:t xml:space="preserve"> como por aquellos familiarizados con el misticismo neoplatónico.</w:t>
      </w:r>
    </w:p>
    <w:p w14:paraId="16FF3860"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2C2A7E2B"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lastRenderedPageBreak/>
        <w:t>La cuestión subyacente, sin embargo, sigue siendo la ontología del hombre y su libertad respecto de Dios. La exigencia filosófica que emerge -núcleo de toda mística- es cuál sería realmente la diferencia ontológica entre Cristo y el hombre, porque, a la luz de las consideraciones de </w:t>
      </w:r>
      <w:proofErr w:type="spellStart"/>
      <w:r w:rsidRPr="00707D13">
        <w:rPr>
          <w:rFonts w:ascii="Arial" w:eastAsia="Times New Roman" w:hAnsi="Arial" w:cs="Arial"/>
          <w:b/>
          <w:bCs/>
          <w:color w:val="333333"/>
          <w:kern w:val="0"/>
          <w:sz w:val="26"/>
          <w:szCs w:val="26"/>
          <w:lang w:eastAsia="es-UY"/>
          <w14:ligatures w14:val="none"/>
        </w:rPr>
        <w:t>Gamberini</w:t>
      </w:r>
      <w:proofErr w:type="spellEnd"/>
      <w:r w:rsidRPr="00707D13">
        <w:rPr>
          <w:rFonts w:ascii="Arial" w:eastAsia="Times New Roman" w:hAnsi="Arial" w:cs="Arial"/>
          <w:color w:val="333333"/>
          <w:kern w:val="0"/>
          <w:sz w:val="26"/>
          <w:szCs w:val="26"/>
          <w:lang w:eastAsia="es-UY"/>
          <w14:ligatures w14:val="none"/>
        </w:rPr>
        <w:t> , como señala </w:t>
      </w:r>
      <w:proofErr w:type="spellStart"/>
      <w:r w:rsidRPr="00707D13">
        <w:rPr>
          <w:rFonts w:ascii="Arial" w:eastAsia="Times New Roman" w:hAnsi="Arial" w:cs="Arial"/>
          <w:b/>
          <w:bCs/>
          <w:color w:val="333333"/>
          <w:kern w:val="0"/>
          <w:sz w:val="26"/>
          <w:szCs w:val="26"/>
          <w:lang w:eastAsia="es-UY"/>
          <w14:ligatures w14:val="none"/>
        </w:rPr>
        <w:t>Fenaroli</w:t>
      </w:r>
      <w:proofErr w:type="spellEnd"/>
      <w:r w:rsidRPr="00707D13">
        <w:rPr>
          <w:rFonts w:ascii="Arial" w:eastAsia="Times New Roman" w:hAnsi="Arial" w:cs="Arial"/>
          <w:color w:val="333333"/>
          <w:kern w:val="0"/>
          <w:sz w:val="26"/>
          <w:szCs w:val="26"/>
          <w:lang w:eastAsia="es-UY"/>
          <w14:ligatures w14:val="none"/>
        </w:rPr>
        <w:t> , la alteridad de la relación entre Dios y el hombre parece desaparecer, considerada una expresión finita de la conciencia infinita de Dios (cf. 424).</w:t>
      </w:r>
    </w:p>
    <w:p w14:paraId="3D7A12A6"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7537095D" w14:textId="77777777" w:rsidR="00707D13" w:rsidRPr="00707D13" w:rsidRDefault="00707D13" w:rsidP="00707D13">
      <w:pPr>
        <w:spacing w:after="0" w:line="240" w:lineRule="auto"/>
        <w:jc w:val="both"/>
        <w:outlineLvl w:val="1"/>
        <w:rPr>
          <w:rFonts w:ascii="Arial" w:eastAsia="Times New Roman" w:hAnsi="Arial" w:cs="Arial"/>
          <w:b/>
          <w:bCs/>
          <w:color w:val="333333"/>
          <w:kern w:val="0"/>
          <w:sz w:val="36"/>
          <w:szCs w:val="36"/>
          <w:lang w:eastAsia="es-UY"/>
          <w14:ligatures w14:val="none"/>
        </w:rPr>
      </w:pPr>
      <w:r w:rsidRPr="00707D13">
        <w:rPr>
          <w:rFonts w:ascii="Arial" w:eastAsia="Times New Roman" w:hAnsi="Arial" w:cs="Arial"/>
          <w:b/>
          <w:bCs/>
          <w:color w:val="333333"/>
          <w:kern w:val="0"/>
          <w:sz w:val="36"/>
          <w:szCs w:val="36"/>
          <w:lang w:eastAsia="es-UY"/>
          <w14:ligatures w14:val="none"/>
        </w:rPr>
        <w:t>La teología del mundo del Hijo Encarnado</w:t>
      </w:r>
    </w:p>
    <w:p w14:paraId="5B6F3B81"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Aunque joven, </w:t>
      </w:r>
      <w:r w:rsidRPr="00707D13">
        <w:rPr>
          <w:rFonts w:ascii="Arial" w:eastAsia="Times New Roman" w:hAnsi="Arial" w:cs="Arial"/>
          <w:b/>
          <w:bCs/>
          <w:color w:val="333333"/>
          <w:kern w:val="0"/>
          <w:sz w:val="26"/>
          <w:szCs w:val="26"/>
          <w:lang w:eastAsia="es-UY"/>
          <w14:ligatures w14:val="none"/>
        </w:rPr>
        <w:t xml:space="preserve">Stefano </w:t>
      </w:r>
      <w:proofErr w:type="spellStart"/>
      <w:r w:rsidRPr="00707D13">
        <w:rPr>
          <w:rFonts w:ascii="Arial" w:eastAsia="Times New Roman" w:hAnsi="Arial" w:cs="Arial"/>
          <w:b/>
          <w:bCs/>
          <w:color w:val="333333"/>
          <w:kern w:val="0"/>
          <w:sz w:val="26"/>
          <w:szCs w:val="26"/>
          <w:lang w:eastAsia="es-UY"/>
          <w14:ligatures w14:val="none"/>
        </w:rPr>
        <w:t>Fenaroli</w:t>
      </w:r>
      <w:proofErr w:type="spellEnd"/>
      <w:r w:rsidRPr="00707D13">
        <w:rPr>
          <w:rFonts w:ascii="Arial" w:eastAsia="Times New Roman" w:hAnsi="Arial" w:cs="Arial"/>
          <w:color w:val="333333"/>
          <w:kern w:val="0"/>
          <w:sz w:val="26"/>
          <w:szCs w:val="26"/>
          <w:lang w:eastAsia="es-UY"/>
          <w14:ligatures w14:val="none"/>
        </w:rPr>
        <w:t> demuestra en este estudio que no le falta capacidad empresarial ni inteligencia teológica. Esto se desprende del hecho de que el ensayo no se limita a presentar la encarnación profunda y reaccionar a las sugerencias de </w:t>
      </w:r>
      <w:proofErr w:type="spellStart"/>
      <w:r w:rsidRPr="00707D13">
        <w:rPr>
          <w:rFonts w:ascii="Arial" w:eastAsia="Times New Roman" w:hAnsi="Arial" w:cs="Arial"/>
          <w:b/>
          <w:bCs/>
          <w:color w:val="333333"/>
          <w:kern w:val="0"/>
          <w:sz w:val="26"/>
          <w:szCs w:val="26"/>
          <w:lang w:eastAsia="es-UY"/>
          <w14:ligatures w14:val="none"/>
        </w:rPr>
        <w:t>Gamberini</w:t>
      </w:r>
      <w:proofErr w:type="spellEnd"/>
      <w:r w:rsidRPr="00707D13">
        <w:rPr>
          <w:rFonts w:ascii="Arial" w:eastAsia="Times New Roman" w:hAnsi="Arial" w:cs="Arial"/>
          <w:color w:val="333333"/>
          <w:kern w:val="0"/>
          <w:sz w:val="26"/>
          <w:szCs w:val="26"/>
          <w:lang w:eastAsia="es-UY"/>
          <w14:ligatures w14:val="none"/>
        </w:rPr>
        <w:t> , sino que también propone su propia versión de la teología de la encarnación profunda.</w:t>
      </w:r>
    </w:p>
    <w:p w14:paraId="65149F23"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554AB47B"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La visión que él llama teología del mundo del Hijo encarnado es expuesta por el autor en el capítulo séptimo, que es en el que más emerge su personalidad teológica. En él se nota la valentía y la voluntad de romper con los esquemas de un tradicionalismo específico, entendido como cualidades intelectuales que mejor pueden acompañar a la Iglesia en los desafíos que está llamada a afrontar en los tiempos contemporáneos. Idealmente, el capítulo quisiera ser una integración y corrección de los puntos de vista de </w:t>
      </w:r>
      <w:proofErr w:type="spellStart"/>
      <w:r w:rsidRPr="00707D13">
        <w:rPr>
          <w:rFonts w:ascii="Arial" w:eastAsia="Times New Roman" w:hAnsi="Arial" w:cs="Arial"/>
          <w:b/>
          <w:bCs/>
          <w:color w:val="333333"/>
          <w:kern w:val="0"/>
          <w:sz w:val="26"/>
          <w:szCs w:val="26"/>
          <w:lang w:eastAsia="es-UY"/>
          <w14:ligatures w14:val="none"/>
        </w:rPr>
        <w:t>Gregersen</w:t>
      </w:r>
      <w:proofErr w:type="spellEnd"/>
      <w:r w:rsidRPr="00707D13">
        <w:rPr>
          <w:rFonts w:ascii="Arial" w:eastAsia="Times New Roman" w:hAnsi="Arial" w:cs="Arial"/>
          <w:color w:val="333333"/>
          <w:kern w:val="0"/>
          <w:sz w:val="26"/>
          <w:szCs w:val="26"/>
          <w:lang w:eastAsia="es-UY"/>
          <w14:ligatures w14:val="none"/>
        </w:rPr>
        <w:t> y </w:t>
      </w:r>
      <w:proofErr w:type="spellStart"/>
      <w:r w:rsidRPr="00707D13">
        <w:rPr>
          <w:rFonts w:ascii="Arial" w:eastAsia="Times New Roman" w:hAnsi="Arial" w:cs="Arial"/>
          <w:b/>
          <w:bCs/>
          <w:color w:val="333333"/>
          <w:kern w:val="0"/>
          <w:sz w:val="26"/>
          <w:szCs w:val="26"/>
          <w:lang w:eastAsia="es-UY"/>
          <w14:ligatures w14:val="none"/>
        </w:rPr>
        <w:t>Gamberini</w:t>
      </w:r>
      <w:proofErr w:type="spellEnd"/>
      <w:r w:rsidRPr="00707D13">
        <w:rPr>
          <w:rFonts w:ascii="Arial" w:eastAsia="Times New Roman" w:hAnsi="Arial" w:cs="Arial"/>
          <w:color w:val="333333"/>
          <w:kern w:val="0"/>
          <w:sz w:val="26"/>
          <w:szCs w:val="26"/>
          <w:lang w:eastAsia="es-UY"/>
          <w14:ligatures w14:val="none"/>
        </w:rPr>
        <w:t> . Para ser más precisos, la intención de </w:t>
      </w:r>
      <w:proofErr w:type="spellStart"/>
      <w:r w:rsidRPr="00707D13">
        <w:rPr>
          <w:rFonts w:ascii="Arial" w:eastAsia="Times New Roman" w:hAnsi="Arial" w:cs="Arial"/>
          <w:b/>
          <w:bCs/>
          <w:color w:val="333333"/>
          <w:kern w:val="0"/>
          <w:sz w:val="26"/>
          <w:szCs w:val="26"/>
          <w:lang w:eastAsia="es-UY"/>
          <w14:ligatures w14:val="none"/>
        </w:rPr>
        <w:t>Fenaroli</w:t>
      </w:r>
      <w:proofErr w:type="spellEnd"/>
      <w:r w:rsidRPr="00707D13">
        <w:rPr>
          <w:rFonts w:ascii="Arial" w:eastAsia="Times New Roman" w:hAnsi="Arial" w:cs="Arial"/>
          <w:color w:val="333333"/>
          <w:kern w:val="0"/>
          <w:sz w:val="26"/>
          <w:szCs w:val="26"/>
          <w:lang w:eastAsia="es-UY"/>
          <w14:ligatures w14:val="none"/>
        </w:rPr>
        <w:t> es llevar a cabo una reformulación de la encarnación profunda original. Lo hace, esencialmente, poniendo mayor énfasis en dos elementos: la categoría bíblica de mundo y el fundamento trinitario.</w:t>
      </w:r>
    </w:p>
    <w:p w14:paraId="582C0482"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35CF1554"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El beneficio de pasar de una “ teología de la </w:t>
      </w:r>
      <w:r w:rsidRPr="00707D13">
        <w:rPr>
          <w:rFonts w:ascii="Arial" w:eastAsia="Times New Roman" w:hAnsi="Arial" w:cs="Arial"/>
          <w:b/>
          <w:bCs/>
          <w:color w:val="333333"/>
          <w:kern w:val="0"/>
          <w:sz w:val="26"/>
          <w:szCs w:val="26"/>
          <w:lang w:eastAsia="es-UY"/>
          <w14:ligatures w14:val="none"/>
        </w:rPr>
        <w:t>encarnación profunda del </w:t>
      </w:r>
      <w:r w:rsidRPr="00707D13">
        <w:rPr>
          <w:rFonts w:ascii="Arial" w:eastAsia="Times New Roman" w:hAnsi="Arial" w:cs="Arial"/>
          <w:b/>
          <w:bCs/>
          <w:i/>
          <w:iCs/>
          <w:color w:val="333333"/>
          <w:kern w:val="0"/>
          <w:sz w:val="26"/>
          <w:szCs w:val="26"/>
          <w:lang w:eastAsia="es-UY"/>
          <w14:ligatures w14:val="none"/>
        </w:rPr>
        <w:t>Logos</w:t>
      </w:r>
      <w:r w:rsidRPr="00707D13">
        <w:rPr>
          <w:rFonts w:ascii="Arial" w:eastAsia="Times New Roman" w:hAnsi="Arial" w:cs="Arial"/>
          <w:color w:val="333333"/>
          <w:kern w:val="0"/>
          <w:sz w:val="26"/>
          <w:szCs w:val="26"/>
          <w:lang w:eastAsia="es-UY"/>
          <w14:ligatures w14:val="none"/>
        </w:rPr>
        <w:t> ” a una “ </w:t>
      </w:r>
      <w:r w:rsidRPr="00707D13">
        <w:rPr>
          <w:rFonts w:ascii="Arial" w:eastAsia="Times New Roman" w:hAnsi="Arial" w:cs="Arial"/>
          <w:b/>
          <w:bCs/>
          <w:color w:val="333333"/>
          <w:kern w:val="0"/>
          <w:sz w:val="26"/>
          <w:szCs w:val="26"/>
          <w:lang w:eastAsia="es-UY"/>
          <w14:ligatures w14:val="none"/>
        </w:rPr>
        <w:t>teología del mundo del Hijo encarnado</w:t>
      </w:r>
      <w:r w:rsidRPr="00707D13">
        <w:rPr>
          <w:rFonts w:ascii="Arial" w:eastAsia="Times New Roman" w:hAnsi="Arial" w:cs="Arial"/>
          <w:color w:val="333333"/>
          <w:kern w:val="0"/>
          <w:sz w:val="26"/>
          <w:szCs w:val="26"/>
          <w:lang w:eastAsia="es-UY"/>
          <w14:ligatures w14:val="none"/>
        </w:rPr>
        <w:t> ” se explica precisamente por el proponente en el arraigo bíblico más relevante y la mayor proximidad cultural en relación con las abstracciones de El lenguaje filosófico griego.</w:t>
      </w:r>
    </w:p>
    <w:p w14:paraId="04C201F8" w14:textId="77348B40"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mundo se justifica por el hecho de que este término evangélico parece incluir toda la historicidad del acontecimiento </w:t>
      </w:r>
      <w:r w:rsidRPr="00707D13">
        <w:rPr>
          <w:rFonts w:ascii="Arial" w:eastAsia="Times New Roman" w:hAnsi="Arial" w:cs="Arial"/>
          <w:b/>
          <w:bCs/>
          <w:color w:val="333333"/>
          <w:kern w:val="0"/>
          <w:sz w:val="26"/>
          <w:szCs w:val="26"/>
          <w:lang w:eastAsia="es-UY"/>
          <w14:ligatures w14:val="none"/>
        </w:rPr>
        <w:t>de Jesús</w:t>
      </w:r>
      <w:r w:rsidRPr="00707D13">
        <w:rPr>
          <w:rFonts w:ascii="Arial" w:eastAsia="Times New Roman" w:hAnsi="Arial" w:cs="Arial"/>
          <w:color w:val="333333"/>
          <w:kern w:val="0"/>
          <w:sz w:val="26"/>
          <w:szCs w:val="26"/>
          <w:lang w:eastAsia="es-UY"/>
          <w14:ligatures w14:val="none"/>
        </w:rPr>
        <w:t> (cf. 505). La referencia a él, además, tiene la ventaja de ser no sólo universal, sino también funcional para afrontar mejor la categoría del mal, cuyo insuficiente tratamiento es una de las limitaciones que el autor identifica en el pensamiento de </w:t>
      </w:r>
      <w:proofErr w:type="spellStart"/>
      <w:r w:rsidRPr="00707D13">
        <w:rPr>
          <w:rFonts w:ascii="Arial" w:eastAsia="Times New Roman" w:hAnsi="Arial" w:cs="Arial"/>
          <w:b/>
          <w:bCs/>
          <w:color w:val="333333"/>
          <w:kern w:val="0"/>
          <w:sz w:val="26"/>
          <w:szCs w:val="26"/>
          <w:lang w:eastAsia="es-UY"/>
          <w14:ligatures w14:val="none"/>
        </w:rPr>
        <w:t>Gregersen</w:t>
      </w:r>
      <w:proofErr w:type="spellEnd"/>
      <w:r w:rsidRPr="00707D13">
        <w:rPr>
          <w:rFonts w:ascii="Arial" w:eastAsia="Times New Roman" w:hAnsi="Arial" w:cs="Arial"/>
          <w:color w:val="333333"/>
          <w:kern w:val="0"/>
          <w:sz w:val="26"/>
          <w:szCs w:val="26"/>
          <w:lang w:eastAsia="es-UY"/>
          <w14:ligatures w14:val="none"/>
        </w:rPr>
        <w:t> , en el que, como él mismo Como escribe, parece faltar “un tratamiento preciso en torno al tema del mal moral presente en el mundo” (436).</w:t>
      </w:r>
    </w:p>
    <w:p w14:paraId="076C9D99"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21D22DC2"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Respecto a la segunda corrección, </w:t>
      </w:r>
      <w:proofErr w:type="spellStart"/>
      <w:r w:rsidRPr="00707D13">
        <w:rPr>
          <w:rFonts w:ascii="Arial" w:eastAsia="Times New Roman" w:hAnsi="Arial" w:cs="Arial"/>
          <w:b/>
          <w:bCs/>
          <w:color w:val="333333"/>
          <w:kern w:val="0"/>
          <w:sz w:val="26"/>
          <w:szCs w:val="26"/>
          <w:lang w:eastAsia="es-UY"/>
          <w14:ligatures w14:val="none"/>
        </w:rPr>
        <w:t>Fenaroli</w:t>
      </w:r>
      <w:proofErr w:type="spellEnd"/>
      <w:r w:rsidRPr="00707D13">
        <w:rPr>
          <w:rFonts w:ascii="Arial" w:eastAsia="Times New Roman" w:hAnsi="Arial" w:cs="Arial"/>
          <w:color w:val="333333"/>
          <w:kern w:val="0"/>
          <w:sz w:val="26"/>
          <w:szCs w:val="26"/>
          <w:lang w:eastAsia="es-UY"/>
          <w14:ligatures w14:val="none"/>
        </w:rPr>
        <w:t xml:space="preserve"> sostiene que un énfasis más trinitario daría mayor profundidad teológica a la encarnación profunda, porque de esta manera “se reconoce que fue precisamente el Hijo quien se hizo hombre y, por tanto, carne, en Jesús. En este sentido, la doble asunción de </w:t>
      </w:r>
      <w:proofErr w:type="spellStart"/>
      <w:r w:rsidRPr="00707D13">
        <w:rPr>
          <w:rFonts w:ascii="Arial" w:eastAsia="Times New Roman" w:hAnsi="Arial" w:cs="Arial"/>
          <w:color w:val="333333"/>
          <w:kern w:val="0"/>
          <w:sz w:val="26"/>
          <w:szCs w:val="26"/>
          <w:lang w:eastAsia="es-UY"/>
          <w14:ligatures w14:val="none"/>
        </w:rPr>
        <w:t>sarx</w:t>
      </w:r>
      <w:proofErr w:type="spellEnd"/>
      <w:r w:rsidRPr="00707D13">
        <w:rPr>
          <w:rFonts w:ascii="Arial" w:eastAsia="Times New Roman" w:hAnsi="Arial" w:cs="Arial"/>
          <w:color w:val="333333"/>
          <w:kern w:val="0"/>
          <w:sz w:val="26"/>
          <w:szCs w:val="26"/>
          <w:lang w:eastAsia="es-UY"/>
          <w14:ligatures w14:val="none"/>
        </w:rPr>
        <w:t xml:space="preserve"> en el corazón de la encarnación profunda puede leerse </w:t>
      </w:r>
      <w:r w:rsidRPr="00707D13">
        <w:rPr>
          <w:rFonts w:ascii="Arial" w:eastAsia="Times New Roman" w:hAnsi="Arial" w:cs="Arial"/>
          <w:color w:val="333333"/>
          <w:kern w:val="0"/>
          <w:sz w:val="26"/>
          <w:szCs w:val="26"/>
          <w:lang w:eastAsia="es-UY"/>
          <w14:ligatures w14:val="none"/>
        </w:rPr>
        <w:lastRenderedPageBreak/>
        <w:t>no sólo en un sentido biológico-evolutivo, como la asunción por parte de Dios de todo lo que está vinculado a la misma materialidad implicada en su hacerse hombre en </w:t>
      </w:r>
      <w:r w:rsidRPr="00707D13">
        <w:rPr>
          <w:rFonts w:ascii="Arial" w:eastAsia="Times New Roman" w:hAnsi="Arial" w:cs="Arial"/>
          <w:b/>
          <w:bCs/>
          <w:color w:val="333333"/>
          <w:kern w:val="0"/>
          <w:sz w:val="26"/>
          <w:szCs w:val="26"/>
          <w:lang w:eastAsia="es-UY"/>
          <w14:ligatures w14:val="none"/>
        </w:rPr>
        <w:t>Jesús de Nazaret</w:t>
      </w:r>
      <w:r w:rsidRPr="00707D13">
        <w:rPr>
          <w:rFonts w:ascii="Arial" w:eastAsia="Times New Roman" w:hAnsi="Arial" w:cs="Arial"/>
          <w:color w:val="333333"/>
          <w:kern w:val="0"/>
          <w:sz w:val="26"/>
          <w:szCs w:val="26"/>
          <w:lang w:eastAsia="es-UY"/>
          <w14:ligatures w14:val="none"/>
        </w:rPr>
        <w:t> , sino al mismo tiempo dentro de una teología de la creación que, como realidad asumida por el Hijo ante el Padre (resurrección), reconoce en el Hijo el lugar trinitario del mundo creado, en el abrazo amoroso del Espíritu Santo” (505).</w:t>
      </w:r>
    </w:p>
    <w:p w14:paraId="6581B0DD"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17323AD4"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La convicción fundamental del estudioso, que pretende también combinar la cristología de la identidad divina de </w:t>
      </w:r>
      <w:hyperlink r:id="rId26" w:tgtFrame="_blank" w:history="1">
        <w:r w:rsidRPr="00707D13">
          <w:rPr>
            <w:rFonts w:ascii="Arial" w:eastAsia="Times New Roman" w:hAnsi="Arial" w:cs="Arial"/>
            <w:color w:val="FC6B01"/>
            <w:kern w:val="0"/>
            <w:sz w:val="26"/>
            <w:szCs w:val="26"/>
            <w:u w:val="single"/>
            <w:lang w:eastAsia="es-UY"/>
            <w14:ligatures w14:val="none"/>
          </w:rPr>
          <w:t xml:space="preserve">Richard </w:t>
        </w:r>
        <w:proofErr w:type="spellStart"/>
        <w:r w:rsidRPr="00707D13">
          <w:rPr>
            <w:rFonts w:ascii="Arial" w:eastAsia="Times New Roman" w:hAnsi="Arial" w:cs="Arial"/>
            <w:color w:val="FC6B01"/>
            <w:kern w:val="0"/>
            <w:sz w:val="26"/>
            <w:szCs w:val="26"/>
            <w:u w:val="single"/>
            <w:lang w:eastAsia="es-UY"/>
            <w14:ligatures w14:val="none"/>
          </w:rPr>
          <w:t>Bauckhman</w:t>
        </w:r>
        <w:proofErr w:type="spellEnd"/>
      </w:hyperlink>
      <w:r w:rsidRPr="00707D13">
        <w:rPr>
          <w:rFonts w:ascii="Arial" w:eastAsia="Times New Roman" w:hAnsi="Arial" w:cs="Arial"/>
          <w:color w:val="333333"/>
          <w:kern w:val="0"/>
          <w:sz w:val="26"/>
          <w:szCs w:val="26"/>
          <w:lang w:eastAsia="es-UY"/>
          <w14:ligatures w14:val="none"/>
        </w:rPr>
        <w:t> con la encarnación profunda, se remonta al hecho de que esta última, en su opinión, debe insertarse en un horizonte trinitario e histórico. , porque sin tal arraigo la cristología se vuelve abstracta.</w:t>
      </w:r>
    </w:p>
    <w:p w14:paraId="13573743"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7D079833"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En relación con las ideas de </w:t>
      </w:r>
      <w:proofErr w:type="spellStart"/>
      <w:r w:rsidRPr="00707D13">
        <w:rPr>
          <w:rFonts w:ascii="Arial" w:eastAsia="Times New Roman" w:hAnsi="Arial" w:cs="Arial"/>
          <w:b/>
          <w:bCs/>
          <w:color w:val="333333"/>
          <w:kern w:val="0"/>
          <w:sz w:val="26"/>
          <w:szCs w:val="26"/>
          <w:lang w:eastAsia="es-UY"/>
          <w14:ligatures w14:val="none"/>
        </w:rPr>
        <w:t>Gamberini</w:t>
      </w:r>
      <w:proofErr w:type="spellEnd"/>
      <w:r w:rsidRPr="00707D13">
        <w:rPr>
          <w:rFonts w:ascii="Arial" w:eastAsia="Times New Roman" w:hAnsi="Arial" w:cs="Arial"/>
          <w:color w:val="333333"/>
          <w:kern w:val="0"/>
          <w:sz w:val="26"/>
          <w:szCs w:val="26"/>
          <w:lang w:eastAsia="es-UY"/>
          <w14:ligatures w14:val="none"/>
        </w:rPr>
        <w:t> , </w:t>
      </w:r>
      <w:proofErr w:type="spellStart"/>
      <w:r w:rsidRPr="00707D13">
        <w:rPr>
          <w:rFonts w:ascii="Arial" w:eastAsia="Times New Roman" w:hAnsi="Arial" w:cs="Arial"/>
          <w:b/>
          <w:bCs/>
          <w:color w:val="333333"/>
          <w:kern w:val="0"/>
          <w:sz w:val="26"/>
          <w:szCs w:val="26"/>
          <w:lang w:eastAsia="es-UY"/>
          <w14:ligatures w14:val="none"/>
        </w:rPr>
        <w:t>Fenaroli</w:t>
      </w:r>
      <w:proofErr w:type="spellEnd"/>
      <w:r w:rsidRPr="00707D13">
        <w:rPr>
          <w:rFonts w:ascii="Arial" w:eastAsia="Times New Roman" w:hAnsi="Arial" w:cs="Arial"/>
          <w:color w:val="333333"/>
          <w:kern w:val="0"/>
          <w:sz w:val="26"/>
          <w:szCs w:val="26"/>
          <w:lang w:eastAsia="es-UY"/>
          <w14:ligatures w14:val="none"/>
        </w:rPr>
        <w:t xml:space="preserve"> vuelve al evento </w:t>
      </w:r>
      <w:proofErr w:type="spellStart"/>
      <w:r w:rsidRPr="00707D13">
        <w:rPr>
          <w:rFonts w:ascii="Arial" w:eastAsia="Times New Roman" w:hAnsi="Arial" w:cs="Arial"/>
          <w:color w:val="333333"/>
          <w:kern w:val="0"/>
          <w:sz w:val="26"/>
          <w:szCs w:val="26"/>
          <w:lang w:eastAsia="es-UY"/>
          <w14:ligatures w14:val="none"/>
        </w:rPr>
        <w:t>kenótico</w:t>
      </w:r>
      <w:proofErr w:type="spellEnd"/>
      <w:r w:rsidRPr="00707D13">
        <w:rPr>
          <w:rFonts w:ascii="Arial" w:eastAsia="Times New Roman" w:hAnsi="Arial" w:cs="Arial"/>
          <w:color w:val="333333"/>
          <w:kern w:val="0"/>
          <w:sz w:val="26"/>
          <w:szCs w:val="26"/>
          <w:lang w:eastAsia="es-UY"/>
          <w14:ligatures w14:val="none"/>
        </w:rPr>
        <w:t xml:space="preserve">, enfatizando que éste “lleva a cumplimiento la comprensión </w:t>
      </w:r>
      <w:proofErr w:type="spellStart"/>
      <w:r w:rsidRPr="00707D13">
        <w:rPr>
          <w:rFonts w:ascii="Arial" w:eastAsia="Times New Roman" w:hAnsi="Arial" w:cs="Arial"/>
          <w:color w:val="333333"/>
          <w:kern w:val="0"/>
          <w:sz w:val="26"/>
          <w:szCs w:val="26"/>
          <w:lang w:eastAsia="es-UY"/>
          <w14:ligatures w14:val="none"/>
        </w:rPr>
        <w:t>compatibilista</w:t>
      </w:r>
      <w:proofErr w:type="spellEnd"/>
      <w:r w:rsidRPr="00707D13">
        <w:rPr>
          <w:rFonts w:ascii="Arial" w:eastAsia="Times New Roman" w:hAnsi="Arial" w:cs="Arial"/>
          <w:color w:val="333333"/>
          <w:kern w:val="0"/>
          <w:sz w:val="26"/>
          <w:szCs w:val="26"/>
          <w:lang w:eastAsia="es-UY"/>
          <w14:ligatures w14:val="none"/>
        </w:rPr>
        <w:t xml:space="preserve"> de la presencia de Dios” (441). En su examen, es decir, reúne la compatibilidad </w:t>
      </w:r>
      <w:proofErr w:type="spellStart"/>
      <w:r w:rsidRPr="00707D13">
        <w:rPr>
          <w:rFonts w:ascii="Arial" w:eastAsia="Times New Roman" w:hAnsi="Arial" w:cs="Arial"/>
          <w:color w:val="333333"/>
          <w:kern w:val="0"/>
          <w:sz w:val="26"/>
          <w:szCs w:val="26"/>
          <w:lang w:eastAsia="es-UY"/>
          <w14:ligatures w14:val="none"/>
        </w:rPr>
        <w:t>panentista</w:t>
      </w:r>
      <w:proofErr w:type="spellEnd"/>
      <w:r w:rsidRPr="00707D13">
        <w:rPr>
          <w:rFonts w:ascii="Arial" w:eastAsia="Times New Roman" w:hAnsi="Arial" w:cs="Arial"/>
          <w:color w:val="333333"/>
          <w:kern w:val="0"/>
          <w:sz w:val="26"/>
          <w:szCs w:val="26"/>
          <w:lang w:eastAsia="es-UY"/>
          <w14:ligatures w14:val="none"/>
        </w:rPr>
        <w:t xml:space="preserve"> con la singularidad del </w:t>
      </w:r>
      <w:hyperlink r:id="rId27" w:tgtFrame="_blank" w:history="1">
        <w:r w:rsidRPr="00707D13">
          <w:rPr>
            <w:rFonts w:ascii="Arial" w:eastAsia="Times New Roman" w:hAnsi="Arial" w:cs="Arial"/>
            <w:color w:val="FC6B01"/>
            <w:kern w:val="0"/>
            <w:sz w:val="26"/>
            <w:szCs w:val="26"/>
            <w:u w:val="single"/>
            <w:lang w:eastAsia="es-UY"/>
            <w14:ligatures w14:val="none"/>
          </w:rPr>
          <w:t xml:space="preserve">evento </w:t>
        </w:r>
        <w:proofErr w:type="spellStart"/>
        <w:r w:rsidRPr="00707D13">
          <w:rPr>
            <w:rFonts w:ascii="Arial" w:eastAsia="Times New Roman" w:hAnsi="Arial" w:cs="Arial"/>
            <w:color w:val="FC6B01"/>
            <w:kern w:val="0"/>
            <w:sz w:val="26"/>
            <w:szCs w:val="26"/>
            <w:u w:val="single"/>
            <w:lang w:eastAsia="es-UY"/>
            <w14:ligatures w14:val="none"/>
          </w:rPr>
          <w:t>kenótico</w:t>
        </w:r>
        <w:proofErr w:type="spellEnd"/>
      </w:hyperlink>
      <w:r w:rsidRPr="00707D13">
        <w:rPr>
          <w:rFonts w:ascii="Arial" w:eastAsia="Times New Roman" w:hAnsi="Arial" w:cs="Arial"/>
          <w:color w:val="333333"/>
          <w:kern w:val="0"/>
          <w:sz w:val="26"/>
          <w:szCs w:val="26"/>
          <w:lang w:eastAsia="es-UY"/>
          <w14:ligatures w14:val="none"/>
        </w:rPr>
        <w:t> de la encarnación, en virtud del cual Dios “no se identifica simplemente con la materia (panteísmo) o con alguna relación inclusiva en la que, en última instancia, el otro es redirigido y 'absorbido' en Dios (monismo relativo)” (442). Las correcciones/integraciones de </w:t>
      </w:r>
      <w:proofErr w:type="spellStart"/>
      <w:r w:rsidRPr="00707D13">
        <w:rPr>
          <w:rFonts w:ascii="Arial" w:eastAsia="Times New Roman" w:hAnsi="Arial" w:cs="Arial"/>
          <w:b/>
          <w:bCs/>
          <w:color w:val="333333"/>
          <w:kern w:val="0"/>
          <w:sz w:val="26"/>
          <w:szCs w:val="26"/>
          <w:lang w:eastAsia="es-UY"/>
          <w14:ligatures w14:val="none"/>
        </w:rPr>
        <w:t>Fenaroli</w:t>
      </w:r>
      <w:proofErr w:type="spellEnd"/>
      <w:r w:rsidRPr="00707D13">
        <w:rPr>
          <w:rFonts w:ascii="Arial" w:eastAsia="Times New Roman" w:hAnsi="Arial" w:cs="Arial"/>
          <w:color w:val="333333"/>
          <w:kern w:val="0"/>
          <w:sz w:val="26"/>
          <w:szCs w:val="26"/>
          <w:lang w:eastAsia="es-UY"/>
          <w14:ligatures w14:val="none"/>
        </w:rPr>
        <w:t> son, por tanto, simples, pero decisivas, y él, por tanto, no debe ser considerado un mero expositor-sintetizador de la teología de la encarnación profunda, sino más bien el primer exponente italiano de esta escuela de pensamiento renovadora.</w:t>
      </w:r>
    </w:p>
    <w:p w14:paraId="6D1C4C68"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2766DDC8" w14:textId="77777777" w:rsidR="00707D13" w:rsidRPr="00707D13" w:rsidRDefault="00707D13" w:rsidP="00707D13">
      <w:pPr>
        <w:spacing w:after="0" w:line="240" w:lineRule="auto"/>
        <w:jc w:val="both"/>
        <w:outlineLvl w:val="1"/>
        <w:rPr>
          <w:rFonts w:ascii="Arial" w:eastAsia="Times New Roman" w:hAnsi="Arial" w:cs="Arial"/>
          <w:b/>
          <w:bCs/>
          <w:color w:val="333333"/>
          <w:kern w:val="0"/>
          <w:sz w:val="36"/>
          <w:szCs w:val="36"/>
          <w:lang w:eastAsia="es-UY"/>
          <w14:ligatures w14:val="none"/>
        </w:rPr>
      </w:pPr>
      <w:r w:rsidRPr="00707D13">
        <w:rPr>
          <w:rFonts w:ascii="Arial" w:eastAsia="Times New Roman" w:hAnsi="Arial" w:cs="Arial"/>
          <w:b/>
          <w:bCs/>
          <w:color w:val="333333"/>
          <w:kern w:val="0"/>
          <w:sz w:val="36"/>
          <w:szCs w:val="36"/>
          <w:lang w:eastAsia="es-UY"/>
          <w14:ligatures w14:val="none"/>
        </w:rPr>
        <w:t>¿Una verdadera novedad?</w:t>
      </w:r>
    </w:p>
    <w:p w14:paraId="175BCA4E"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En los márgenes del libro de </w:t>
      </w:r>
      <w:proofErr w:type="spellStart"/>
      <w:r w:rsidRPr="00707D13">
        <w:rPr>
          <w:rFonts w:ascii="Arial" w:eastAsia="Times New Roman" w:hAnsi="Arial" w:cs="Arial"/>
          <w:b/>
          <w:bCs/>
          <w:color w:val="333333"/>
          <w:kern w:val="0"/>
          <w:sz w:val="26"/>
          <w:szCs w:val="26"/>
          <w:lang w:eastAsia="es-UY"/>
          <w14:ligatures w14:val="none"/>
        </w:rPr>
        <w:t>Fenaroli</w:t>
      </w:r>
      <w:proofErr w:type="spellEnd"/>
      <w:r w:rsidRPr="00707D13">
        <w:rPr>
          <w:rFonts w:ascii="Arial" w:eastAsia="Times New Roman" w:hAnsi="Arial" w:cs="Arial"/>
          <w:color w:val="333333"/>
          <w:kern w:val="0"/>
          <w:sz w:val="26"/>
          <w:szCs w:val="26"/>
          <w:lang w:eastAsia="es-UY"/>
          <w14:ligatures w14:val="none"/>
        </w:rPr>
        <w:t> y su exposición de la teología de la encarnación profunda y la crítica del monismo relacional, surge una pregunta necesaria: ¿representan realmente la encarnación profunda y el monismo relacional una novedad efectiva y total? Ambas perspectivas teológicas, de hecho, parecen ignorar -incluso descaradamente- la deuda con el evolucionismo de </w:t>
      </w:r>
      <w:hyperlink r:id="rId28" w:tgtFrame="_blank" w:history="1">
        <w:r w:rsidRPr="00707D13">
          <w:rPr>
            <w:rFonts w:ascii="Arial" w:eastAsia="Times New Roman" w:hAnsi="Arial" w:cs="Arial"/>
            <w:color w:val="FC6B01"/>
            <w:kern w:val="0"/>
            <w:sz w:val="26"/>
            <w:szCs w:val="26"/>
            <w:u w:val="single"/>
            <w:lang w:eastAsia="es-UY"/>
            <w14:ligatures w14:val="none"/>
          </w:rPr>
          <w:t>Pierre Teilhard de Chardin</w:t>
        </w:r>
      </w:hyperlink>
      <w:r w:rsidRPr="00707D13">
        <w:rPr>
          <w:rFonts w:ascii="Arial" w:eastAsia="Times New Roman" w:hAnsi="Arial" w:cs="Arial"/>
          <w:color w:val="333333"/>
          <w:kern w:val="0"/>
          <w:sz w:val="26"/>
          <w:szCs w:val="26"/>
          <w:lang w:eastAsia="es-UY"/>
          <w14:ligatures w14:val="none"/>
        </w:rPr>
        <w:t> , en el que, además, la encarnación profunda encuentra también un fundamento y una justificación sacramental y eucarística. Vale recordar que el paleontólogo francés, ochenta años antes que </w:t>
      </w:r>
      <w:proofErr w:type="spellStart"/>
      <w:r w:rsidRPr="00707D13">
        <w:rPr>
          <w:rFonts w:ascii="Arial" w:eastAsia="Times New Roman" w:hAnsi="Arial" w:cs="Arial"/>
          <w:b/>
          <w:bCs/>
          <w:color w:val="333333"/>
          <w:kern w:val="0"/>
          <w:sz w:val="26"/>
          <w:szCs w:val="26"/>
          <w:lang w:eastAsia="es-UY"/>
          <w14:ligatures w14:val="none"/>
        </w:rPr>
        <w:t>Gregersen</w:t>
      </w:r>
      <w:proofErr w:type="spellEnd"/>
      <w:r w:rsidRPr="00707D13">
        <w:rPr>
          <w:rFonts w:ascii="Arial" w:eastAsia="Times New Roman" w:hAnsi="Arial" w:cs="Arial"/>
          <w:color w:val="333333"/>
          <w:kern w:val="0"/>
          <w:sz w:val="26"/>
          <w:szCs w:val="26"/>
          <w:lang w:eastAsia="es-UY"/>
          <w14:ligatures w14:val="none"/>
        </w:rPr>
        <w:t> , se refirió a lo que el danés llama la encarnación “profunda” utilizando el término “</w:t>
      </w:r>
      <w:proofErr w:type="spellStart"/>
      <w:r w:rsidRPr="00707D13">
        <w:rPr>
          <w:rFonts w:ascii="Arial" w:eastAsia="Times New Roman" w:hAnsi="Arial" w:cs="Arial"/>
          <w:color w:val="333333"/>
          <w:kern w:val="0"/>
          <w:sz w:val="26"/>
          <w:szCs w:val="26"/>
          <w:lang w:eastAsia="es-UY"/>
          <w14:ligatures w14:val="none"/>
        </w:rPr>
        <w:t>pancristismo</w:t>
      </w:r>
      <w:proofErr w:type="spellEnd"/>
      <w:r w:rsidRPr="00707D13">
        <w:rPr>
          <w:rFonts w:ascii="Arial" w:eastAsia="Times New Roman" w:hAnsi="Arial" w:cs="Arial"/>
          <w:color w:val="333333"/>
          <w:kern w:val="0"/>
          <w:sz w:val="26"/>
          <w:szCs w:val="26"/>
          <w:lang w:eastAsia="es-UY"/>
          <w14:ligatures w14:val="none"/>
        </w:rPr>
        <w:t xml:space="preserve">”, definiéndolo posteriormente como panteísmo cristiano. En su visión evolucionista, además, la espiritualización de la materia coincide con una divinización del cosmos a la que llamó, significativamente, </w:t>
      </w:r>
      <w:proofErr w:type="spellStart"/>
      <w:r w:rsidRPr="00707D13">
        <w:rPr>
          <w:rFonts w:ascii="Arial" w:eastAsia="Times New Roman" w:hAnsi="Arial" w:cs="Arial"/>
          <w:color w:val="333333"/>
          <w:kern w:val="0"/>
          <w:sz w:val="26"/>
          <w:szCs w:val="26"/>
          <w:lang w:eastAsia="es-UY"/>
          <w14:ligatures w14:val="none"/>
        </w:rPr>
        <w:t>cristificación</w:t>
      </w:r>
      <w:proofErr w:type="spellEnd"/>
      <w:r w:rsidRPr="00707D13">
        <w:rPr>
          <w:rFonts w:ascii="Arial" w:eastAsia="Times New Roman" w:hAnsi="Arial" w:cs="Arial"/>
          <w:color w:val="333333"/>
          <w:kern w:val="0"/>
          <w:sz w:val="26"/>
          <w:szCs w:val="26"/>
          <w:lang w:eastAsia="es-UY"/>
          <w14:ligatures w14:val="none"/>
        </w:rPr>
        <w:t xml:space="preserve"> o </w:t>
      </w:r>
      <w:proofErr w:type="spellStart"/>
      <w:r w:rsidRPr="00707D13">
        <w:rPr>
          <w:rFonts w:ascii="Arial" w:eastAsia="Times New Roman" w:hAnsi="Arial" w:cs="Arial"/>
          <w:color w:val="333333"/>
          <w:kern w:val="0"/>
          <w:sz w:val="26"/>
          <w:szCs w:val="26"/>
          <w:lang w:eastAsia="es-UY"/>
          <w14:ligatures w14:val="none"/>
        </w:rPr>
        <w:t>amorización</w:t>
      </w:r>
      <w:proofErr w:type="spellEnd"/>
      <w:r w:rsidRPr="00707D13">
        <w:rPr>
          <w:rFonts w:ascii="Arial" w:eastAsia="Times New Roman" w:hAnsi="Arial" w:cs="Arial"/>
          <w:color w:val="333333"/>
          <w:kern w:val="0"/>
          <w:sz w:val="26"/>
          <w:szCs w:val="26"/>
          <w:lang w:eastAsia="es-UY"/>
          <w14:ligatures w14:val="none"/>
        </w:rPr>
        <w:t xml:space="preserve">. Por tanto, sorprende que su nombre esté ausente, como también la ausencia del concepto de </w:t>
      </w:r>
      <w:proofErr w:type="spellStart"/>
      <w:r w:rsidRPr="00707D13">
        <w:rPr>
          <w:rFonts w:ascii="Arial" w:eastAsia="Times New Roman" w:hAnsi="Arial" w:cs="Arial"/>
          <w:color w:val="333333"/>
          <w:kern w:val="0"/>
          <w:sz w:val="26"/>
          <w:szCs w:val="26"/>
          <w:lang w:eastAsia="es-UY"/>
          <w14:ligatures w14:val="none"/>
        </w:rPr>
        <w:t>pancristismo</w:t>
      </w:r>
      <w:proofErr w:type="spellEnd"/>
      <w:r w:rsidRPr="00707D13">
        <w:rPr>
          <w:rFonts w:ascii="Arial" w:eastAsia="Times New Roman" w:hAnsi="Arial" w:cs="Arial"/>
          <w:color w:val="333333"/>
          <w:kern w:val="0"/>
          <w:sz w:val="26"/>
          <w:szCs w:val="26"/>
          <w:lang w:eastAsia="es-UY"/>
          <w14:ligatures w14:val="none"/>
        </w:rPr>
        <w:t>, que habría vinculado la encarnación profunda a una tradición filosófico-teológica mucho más antigua.</w:t>
      </w:r>
    </w:p>
    <w:p w14:paraId="6606EA8A"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14EF950A" w14:textId="75C16565"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lastRenderedPageBreak/>
        <w:t>De hecho, cabe señalar, además de la presencia de esta categoría en los sacerdotes griegos - retomada posteriormente por una cristología filosófica específica como la de </w:t>
      </w:r>
      <w:hyperlink r:id="rId29" w:tgtFrame="_blank" w:history="1">
        <w:r w:rsidRPr="00707D13">
          <w:rPr>
            <w:rFonts w:ascii="Arial" w:eastAsia="Times New Roman" w:hAnsi="Arial" w:cs="Arial"/>
            <w:color w:val="FC6B01"/>
            <w:kern w:val="0"/>
            <w:sz w:val="26"/>
            <w:szCs w:val="26"/>
            <w:u w:val="single"/>
            <w:lang w:eastAsia="es-UY"/>
            <w14:ligatures w14:val="none"/>
          </w:rPr>
          <w:t xml:space="preserve">Xavier </w:t>
        </w:r>
        <w:proofErr w:type="spellStart"/>
        <w:r w:rsidRPr="00707D13">
          <w:rPr>
            <w:rFonts w:ascii="Arial" w:eastAsia="Times New Roman" w:hAnsi="Arial" w:cs="Arial"/>
            <w:color w:val="FC6B01"/>
            <w:kern w:val="0"/>
            <w:sz w:val="26"/>
            <w:szCs w:val="26"/>
            <w:u w:val="single"/>
            <w:lang w:eastAsia="es-UY"/>
            <w14:ligatures w14:val="none"/>
          </w:rPr>
          <w:t>Tilliette</w:t>
        </w:r>
        <w:proofErr w:type="spellEnd"/>
      </w:hyperlink>
      <w:r w:rsidRPr="00707D13">
        <w:rPr>
          <w:rFonts w:ascii="Arial" w:eastAsia="Times New Roman" w:hAnsi="Arial" w:cs="Arial"/>
          <w:color w:val="333333"/>
          <w:kern w:val="0"/>
          <w:sz w:val="26"/>
          <w:szCs w:val="26"/>
          <w:lang w:eastAsia="es-UY"/>
          <w14:ligatures w14:val="none"/>
        </w:rPr>
        <w:t> - que tal perspectiva fue retomada, a principios del siglo XX. siglo, por </w:t>
      </w:r>
      <w:r w:rsidRPr="00707D13">
        <w:rPr>
          <w:rFonts w:ascii="Arial" w:eastAsia="Times New Roman" w:hAnsi="Arial" w:cs="Arial"/>
          <w:b/>
          <w:bCs/>
          <w:color w:val="333333"/>
          <w:kern w:val="0"/>
          <w:sz w:val="26"/>
          <w:szCs w:val="26"/>
          <w:lang w:eastAsia="es-UY"/>
          <w14:ligatures w14:val="none"/>
        </w:rPr>
        <w:t>M. Blondel</w:t>
      </w:r>
      <w:r w:rsidRPr="00707D13">
        <w:rPr>
          <w:rFonts w:ascii="Arial" w:eastAsia="Times New Roman" w:hAnsi="Arial" w:cs="Arial"/>
          <w:color w:val="333333"/>
          <w:kern w:val="0"/>
          <w:sz w:val="26"/>
          <w:szCs w:val="26"/>
          <w:lang w:eastAsia="es-UY"/>
          <w14:ligatures w14:val="none"/>
        </w:rPr>
        <w:t> , </w:t>
      </w:r>
      <w:r w:rsidRPr="00707D13">
        <w:rPr>
          <w:rFonts w:ascii="Arial" w:eastAsia="Times New Roman" w:hAnsi="Arial" w:cs="Arial"/>
          <w:b/>
          <w:bCs/>
          <w:color w:val="333333"/>
          <w:kern w:val="0"/>
          <w:sz w:val="26"/>
          <w:szCs w:val="26"/>
          <w:lang w:eastAsia="es-UY"/>
          <w14:ligatures w14:val="none"/>
        </w:rPr>
        <w:t xml:space="preserve">J </w:t>
      </w:r>
      <w:proofErr w:type="spellStart"/>
      <w:r w:rsidRPr="00707D13">
        <w:rPr>
          <w:rFonts w:ascii="Arial" w:eastAsia="Times New Roman" w:hAnsi="Arial" w:cs="Arial"/>
          <w:b/>
          <w:bCs/>
          <w:color w:val="333333"/>
          <w:kern w:val="0"/>
          <w:sz w:val="26"/>
          <w:szCs w:val="26"/>
          <w:lang w:eastAsia="es-UY"/>
          <w14:ligatures w14:val="none"/>
        </w:rPr>
        <w:t>Monchanin</w:t>
      </w:r>
      <w:proofErr w:type="spellEnd"/>
      <w:r w:rsidRPr="00707D13">
        <w:rPr>
          <w:rFonts w:ascii="Arial" w:eastAsia="Times New Roman" w:hAnsi="Arial" w:cs="Arial"/>
          <w:color w:val="333333"/>
          <w:kern w:val="0"/>
          <w:sz w:val="26"/>
          <w:szCs w:val="26"/>
          <w:lang w:eastAsia="es-UY"/>
          <w14:ligatures w14:val="none"/>
        </w:rPr>
        <w:t> y </w:t>
      </w:r>
      <w:r w:rsidRPr="00707D13">
        <w:rPr>
          <w:rFonts w:ascii="Arial" w:eastAsia="Times New Roman" w:hAnsi="Arial" w:cs="Arial"/>
          <w:b/>
          <w:bCs/>
          <w:color w:val="333333"/>
          <w:kern w:val="0"/>
          <w:sz w:val="26"/>
          <w:szCs w:val="26"/>
          <w:lang w:eastAsia="es-UY"/>
          <w14:ligatures w14:val="none"/>
        </w:rPr>
        <w:t>P. Teilhard de Chardin</w:t>
      </w:r>
      <w:r w:rsidRPr="00707D13">
        <w:rPr>
          <w:rFonts w:ascii="Arial" w:eastAsia="Times New Roman" w:hAnsi="Arial" w:cs="Arial"/>
          <w:color w:val="333333"/>
          <w:kern w:val="0"/>
          <w:sz w:val="26"/>
          <w:szCs w:val="26"/>
          <w:lang w:eastAsia="es-UY"/>
          <w14:ligatures w14:val="none"/>
        </w:rPr>
        <w:t> . Además de los autores citados anteriormente, el tema también está presente en </w:t>
      </w:r>
      <w:hyperlink r:id="rId30" w:tgtFrame="_blank" w:history="1">
        <w:r w:rsidRPr="00707D13">
          <w:rPr>
            <w:rFonts w:ascii="Arial" w:eastAsia="Times New Roman" w:hAnsi="Arial" w:cs="Arial"/>
            <w:color w:val="FC6B01"/>
            <w:kern w:val="0"/>
            <w:sz w:val="26"/>
            <w:szCs w:val="26"/>
            <w:u w:val="single"/>
            <w:lang w:eastAsia="es-UY"/>
            <w14:ligatures w14:val="none"/>
          </w:rPr>
          <w:t xml:space="preserve">H. de </w:t>
        </w:r>
        <w:proofErr w:type="spellStart"/>
        <w:r w:rsidRPr="00707D13">
          <w:rPr>
            <w:rFonts w:ascii="Arial" w:eastAsia="Times New Roman" w:hAnsi="Arial" w:cs="Arial"/>
            <w:color w:val="FC6B01"/>
            <w:kern w:val="0"/>
            <w:sz w:val="26"/>
            <w:szCs w:val="26"/>
            <w:u w:val="single"/>
            <w:lang w:eastAsia="es-UY"/>
            <w14:ligatures w14:val="none"/>
          </w:rPr>
          <w:t>Lubac</w:t>
        </w:r>
        <w:proofErr w:type="spellEnd"/>
      </w:hyperlink>
      <w:r w:rsidRPr="00707D13">
        <w:rPr>
          <w:rFonts w:ascii="Arial" w:eastAsia="Times New Roman" w:hAnsi="Arial" w:cs="Arial"/>
          <w:color w:val="333333"/>
          <w:kern w:val="0"/>
          <w:sz w:val="26"/>
          <w:szCs w:val="26"/>
          <w:lang w:eastAsia="es-UY"/>
          <w14:ligatures w14:val="none"/>
        </w:rPr>
        <w:t> , debido a su amistad con estos dos últimos.</w:t>
      </w:r>
    </w:p>
    <w:p w14:paraId="3E8E10A0"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46356FFB"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Si, además, la encarnación profunda nace de la ecología profunda de </w:t>
      </w:r>
      <w:r w:rsidRPr="00707D13">
        <w:rPr>
          <w:rFonts w:ascii="Arial" w:eastAsia="Times New Roman" w:hAnsi="Arial" w:cs="Arial"/>
          <w:b/>
          <w:bCs/>
          <w:color w:val="333333"/>
          <w:kern w:val="0"/>
          <w:sz w:val="26"/>
          <w:szCs w:val="26"/>
          <w:lang w:eastAsia="es-UY"/>
          <w14:ligatures w14:val="none"/>
        </w:rPr>
        <w:t>Arne Ness</w:t>
      </w:r>
      <w:r w:rsidRPr="00707D13">
        <w:rPr>
          <w:rFonts w:ascii="Arial" w:eastAsia="Times New Roman" w:hAnsi="Arial" w:cs="Arial"/>
          <w:color w:val="333333"/>
          <w:kern w:val="0"/>
          <w:sz w:val="26"/>
          <w:szCs w:val="26"/>
          <w:lang w:eastAsia="es-UY"/>
          <w14:ligatures w14:val="none"/>
        </w:rPr>
        <w:t> a principios de los años 2000, no podemos dejar de señalar hasta qué punto esta perspectiva fue anticipada por el trabajo realizado por el monje camaldulense </w:t>
      </w:r>
      <w:hyperlink r:id="rId31" w:tgtFrame="_blank" w:history="1">
        <w:r w:rsidRPr="00707D13">
          <w:rPr>
            <w:rFonts w:ascii="Arial" w:eastAsia="Times New Roman" w:hAnsi="Arial" w:cs="Arial"/>
            <w:color w:val="FC6B01"/>
            <w:kern w:val="0"/>
            <w:sz w:val="26"/>
            <w:szCs w:val="26"/>
            <w:u w:val="single"/>
            <w:lang w:eastAsia="es-UY"/>
            <w14:ligatures w14:val="none"/>
          </w:rPr>
          <w:t>Robert Hale</w:t>
        </w:r>
      </w:hyperlink>
      <w:r w:rsidRPr="00707D13">
        <w:rPr>
          <w:rFonts w:ascii="Arial" w:eastAsia="Times New Roman" w:hAnsi="Arial" w:cs="Arial"/>
          <w:color w:val="333333"/>
          <w:kern w:val="0"/>
          <w:sz w:val="26"/>
          <w:szCs w:val="26"/>
          <w:lang w:eastAsia="es-UY"/>
          <w14:ligatures w14:val="none"/>
        </w:rPr>
        <w:t xml:space="preserve"> , quien, ya a principios de los años 2000, década de 1970, había vinculado el </w:t>
      </w:r>
      <w:proofErr w:type="spellStart"/>
      <w:r w:rsidRPr="00707D13">
        <w:rPr>
          <w:rFonts w:ascii="Arial" w:eastAsia="Times New Roman" w:hAnsi="Arial" w:cs="Arial"/>
          <w:color w:val="333333"/>
          <w:kern w:val="0"/>
          <w:sz w:val="26"/>
          <w:szCs w:val="26"/>
          <w:lang w:eastAsia="es-UY"/>
          <w14:ligatures w14:val="none"/>
        </w:rPr>
        <w:t>pancristismo</w:t>
      </w:r>
      <w:proofErr w:type="spellEnd"/>
      <w:r w:rsidRPr="00707D13">
        <w:rPr>
          <w:rFonts w:ascii="Arial" w:eastAsia="Times New Roman" w:hAnsi="Arial" w:cs="Arial"/>
          <w:color w:val="333333"/>
          <w:kern w:val="0"/>
          <w:sz w:val="26"/>
          <w:szCs w:val="26"/>
          <w:lang w:eastAsia="es-UY"/>
          <w14:ligatures w14:val="none"/>
        </w:rPr>
        <w:t xml:space="preserve"> </w:t>
      </w:r>
      <w:proofErr w:type="spellStart"/>
      <w:r w:rsidRPr="00707D13">
        <w:rPr>
          <w:rFonts w:ascii="Arial" w:eastAsia="Times New Roman" w:hAnsi="Arial" w:cs="Arial"/>
          <w:color w:val="333333"/>
          <w:kern w:val="0"/>
          <w:sz w:val="26"/>
          <w:szCs w:val="26"/>
          <w:lang w:eastAsia="es-UY"/>
          <w14:ligatures w14:val="none"/>
        </w:rPr>
        <w:t>teilhardiano</w:t>
      </w:r>
      <w:proofErr w:type="spellEnd"/>
      <w:r w:rsidRPr="00707D13">
        <w:rPr>
          <w:rFonts w:ascii="Arial" w:eastAsia="Times New Roman" w:hAnsi="Arial" w:cs="Arial"/>
          <w:color w:val="333333"/>
          <w:kern w:val="0"/>
          <w:sz w:val="26"/>
          <w:szCs w:val="26"/>
          <w:lang w:eastAsia="es-UY"/>
          <w14:ligatures w14:val="none"/>
        </w:rPr>
        <w:t xml:space="preserve"> -entendido como la encarnación biológica y, por tanto, profunda de Cristo- con la teología de la ecología.</w:t>
      </w:r>
    </w:p>
    <w:p w14:paraId="5FF3F8BE"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0B15D7BD"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 xml:space="preserve">Quien escribe, basándose precisamente en los ensayos de este último, argumentó en mayo de 2012 -mucho antes de </w:t>
      </w:r>
      <w:proofErr w:type="spellStart"/>
      <w:r w:rsidRPr="00707D13">
        <w:rPr>
          <w:rFonts w:ascii="Arial" w:eastAsia="Times New Roman" w:hAnsi="Arial" w:cs="Arial"/>
          <w:color w:val="333333"/>
          <w:kern w:val="0"/>
          <w:sz w:val="26"/>
          <w:szCs w:val="26"/>
          <w:lang w:eastAsia="es-UY"/>
          <w14:ligatures w14:val="none"/>
        </w:rPr>
        <w:t>Laudato</w:t>
      </w:r>
      <w:proofErr w:type="spellEnd"/>
      <w:r w:rsidRPr="00707D13">
        <w:rPr>
          <w:rFonts w:ascii="Arial" w:eastAsia="Times New Roman" w:hAnsi="Arial" w:cs="Arial"/>
          <w:color w:val="333333"/>
          <w:kern w:val="0"/>
          <w:sz w:val="26"/>
          <w:szCs w:val="26"/>
          <w:lang w:eastAsia="es-UY"/>
          <w14:ligatures w14:val="none"/>
        </w:rPr>
        <w:t xml:space="preserve"> si'- que el </w:t>
      </w:r>
      <w:proofErr w:type="spellStart"/>
      <w:r w:rsidRPr="00707D13">
        <w:rPr>
          <w:rFonts w:ascii="Arial" w:eastAsia="Times New Roman" w:hAnsi="Arial" w:cs="Arial"/>
          <w:color w:val="333333"/>
          <w:kern w:val="0"/>
          <w:sz w:val="26"/>
          <w:szCs w:val="26"/>
          <w:lang w:eastAsia="es-UY"/>
          <w14:ligatures w14:val="none"/>
        </w:rPr>
        <w:t>pancristismo</w:t>
      </w:r>
      <w:proofErr w:type="spellEnd"/>
      <w:r w:rsidRPr="00707D13">
        <w:rPr>
          <w:rFonts w:ascii="Arial" w:eastAsia="Times New Roman" w:hAnsi="Arial" w:cs="Arial"/>
          <w:color w:val="333333"/>
          <w:kern w:val="0"/>
          <w:sz w:val="26"/>
          <w:szCs w:val="26"/>
          <w:lang w:eastAsia="es-UY"/>
          <w14:ligatures w14:val="none"/>
        </w:rPr>
        <w:t xml:space="preserve"> </w:t>
      </w:r>
      <w:proofErr w:type="spellStart"/>
      <w:r w:rsidRPr="00707D13">
        <w:rPr>
          <w:rFonts w:ascii="Arial" w:eastAsia="Times New Roman" w:hAnsi="Arial" w:cs="Arial"/>
          <w:color w:val="333333"/>
          <w:kern w:val="0"/>
          <w:sz w:val="26"/>
          <w:szCs w:val="26"/>
          <w:lang w:eastAsia="es-UY"/>
          <w14:ligatures w14:val="none"/>
        </w:rPr>
        <w:t>teilhardiano</w:t>
      </w:r>
      <w:proofErr w:type="spellEnd"/>
      <w:r w:rsidRPr="00707D13">
        <w:rPr>
          <w:rFonts w:ascii="Arial" w:eastAsia="Times New Roman" w:hAnsi="Arial" w:cs="Arial"/>
          <w:color w:val="333333"/>
          <w:kern w:val="0"/>
          <w:sz w:val="26"/>
          <w:szCs w:val="26"/>
          <w:lang w:eastAsia="es-UY"/>
          <w14:ligatures w14:val="none"/>
        </w:rPr>
        <w:t xml:space="preserve"> podría ser un argumento teológico válido para </w:t>
      </w:r>
      <w:proofErr w:type="spellStart"/>
      <w:r w:rsidRPr="00707D13">
        <w:rPr>
          <w:rFonts w:ascii="Arial" w:eastAsia="Times New Roman" w:hAnsi="Arial" w:cs="Arial"/>
          <w:color w:val="333333"/>
          <w:kern w:val="0"/>
          <w:sz w:val="26"/>
          <w:szCs w:val="26"/>
          <w:lang w:eastAsia="es-UY"/>
          <w14:ligatures w14:val="none"/>
        </w:rPr>
        <w:t>resacralizar</w:t>
      </w:r>
      <w:proofErr w:type="spellEnd"/>
      <w:r w:rsidRPr="00707D13">
        <w:rPr>
          <w:rFonts w:ascii="Arial" w:eastAsia="Times New Roman" w:hAnsi="Arial" w:cs="Arial"/>
          <w:color w:val="333333"/>
          <w:kern w:val="0"/>
          <w:sz w:val="26"/>
          <w:szCs w:val="26"/>
          <w:lang w:eastAsia="es-UY"/>
          <w14:ligatures w14:val="none"/>
        </w:rPr>
        <w:t xml:space="preserve"> el cosmos. En la conferencia también estuvo presente </w:t>
      </w:r>
      <w:proofErr w:type="spellStart"/>
      <w:r w:rsidRPr="00707D13">
        <w:rPr>
          <w:rFonts w:ascii="Arial" w:eastAsia="Times New Roman" w:hAnsi="Arial" w:cs="Arial"/>
          <w:b/>
          <w:bCs/>
          <w:color w:val="333333"/>
          <w:kern w:val="0"/>
          <w:sz w:val="26"/>
          <w:szCs w:val="26"/>
          <w:lang w:eastAsia="es-UY"/>
          <w14:ligatures w14:val="none"/>
        </w:rPr>
        <w:t>Moltmann</w:t>
      </w:r>
      <w:proofErr w:type="spellEnd"/>
      <w:r w:rsidRPr="00707D13">
        <w:rPr>
          <w:rFonts w:ascii="Arial" w:eastAsia="Times New Roman" w:hAnsi="Arial" w:cs="Arial"/>
          <w:color w:val="333333"/>
          <w:kern w:val="0"/>
          <w:sz w:val="26"/>
          <w:szCs w:val="26"/>
          <w:lang w:eastAsia="es-UY"/>
          <w14:ligatures w14:val="none"/>
        </w:rPr>
        <w:t> , cuya intervención fue rápidamente retomada por </w:t>
      </w:r>
      <w:proofErr w:type="spellStart"/>
      <w:r w:rsidRPr="00707D13">
        <w:rPr>
          <w:rFonts w:ascii="Arial" w:eastAsia="Times New Roman" w:hAnsi="Arial" w:cs="Arial"/>
          <w:color w:val="333333"/>
          <w:kern w:val="0"/>
          <w:sz w:val="26"/>
          <w:szCs w:val="26"/>
          <w:lang w:eastAsia="es-UY"/>
          <w14:ligatures w14:val="none"/>
        </w:rPr>
        <w:fldChar w:fldCharType="begin"/>
      </w:r>
      <w:r w:rsidRPr="00707D13">
        <w:rPr>
          <w:rFonts w:ascii="Arial" w:eastAsia="Times New Roman" w:hAnsi="Arial" w:cs="Arial"/>
          <w:color w:val="333333"/>
          <w:kern w:val="0"/>
          <w:sz w:val="26"/>
          <w:szCs w:val="26"/>
          <w:lang w:eastAsia="es-UY"/>
          <w14:ligatures w14:val="none"/>
        </w:rPr>
        <w:instrText>HYPERLINK "https://www.ihu.unisinos.br/categorias/624295-morreu-rosino-gibellini-diretor-literario-da-editora-queriniana" \t "_blank"</w:instrText>
      </w:r>
      <w:r w:rsidRPr="00707D13">
        <w:rPr>
          <w:rFonts w:ascii="Arial" w:eastAsia="Times New Roman" w:hAnsi="Arial" w:cs="Arial"/>
          <w:color w:val="333333"/>
          <w:kern w:val="0"/>
          <w:sz w:val="26"/>
          <w:szCs w:val="26"/>
          <w:lang w:eastAsia="es-UY"/>
          <w14:ligatures w14:val="none"/>
        </w:rPr>
      </w:r>
      <w:r w:rsidRPr="00707D13">
        <w:rPr>
          <w:rFonts w:ascii="Arial" w:eastAsia="Times New Roman" w:hAnsi="Arial" w:cs="Arial"/>
          <w:color w:val="333333"/>
          <w:kern w:val="0"/>
          <w:sz w:val="26"/>
          <w:szCs w:val="26"/>
          <w:lang w:eastAsia="es-UY"/>
          <w14:ligatures w14:val="none"/>
        </w:rPr>
        <w:fldChar w:fldCharType="separate"/>
      </w:r>
      <w:r w:rsidRPr="00707D13">
        <w:rPr>
          <w:rFonts w:ascii="Arial" w:eastAsia="Times New Roman" w:hAnsi="Arial" w:cs="Arial"/>
          <w:color w:val="FC6B01"/>
          <w:kern w:val="0"/>
          <w:sz w:val="26"/>
          <w:szCs w:val="26"/>
          <w:u w:val="single"/>
          <w:lang w:eastAsia="es-UY"/>
          <w14:ligatures w14:val="none"/>
        </w:rPr>
        <w:t>Rosino</w:t>
      </w:r>
      <w:proofErr w:type="spellEnd"/>
      <w:r w:rsidRPr="00707D13">
        <w:rPr>
          <w:rFonts w:ascii="Arial" w:eastAsia="Times New Roman" w:hAnsi="Arial" w:cs="Arial"/>
          <w:color w:val="FC6B01"/>
          <w:kern w:val="0"/>
          <w:sz w:val="26"/>
          <w:szCs w:val="26"/>
          <w:u w:val="single"/>
          <w:lang w:eastAsia="es-UY"/>
          <w14:ligatures w14:val="none"/>
        </w:rPr>
        <w:t xml:space="preserve"> </w:t>
      </w:r>
      <w:proofErr w:type="spellStart"/>
      <w:r w:rsidRPr="00707D13">
        <w:rPr>
          <w:rFonts w:ascii="Arial" w:eastAsia="Times New Roman" w:hAnsi="Arial" w:cs="Arial"/>
          <w:color w:val="FC6B01"/>
          <w:kern w:val="0"/>
          <w:sz w:val="26"/>
          <w:szCs w:val="26"/>
          <w:u w:val="single"/>
          <w:lang w:eastAsia="es-UY"/>
          <w14:ligatures w14:val="none"/>
        </w:rPr>
        <w:t>Gibellini</w:t>
      </w:r>
      <w:proofErr w:type="spellEnd"/>
      <w:r w:rsidRPr="00707D13">
        <w:rPr>
          <w:rFonts w:ascii="Arial" w:eastAsia="Times New Roman" w:hAnsi="Arial" w:cs="Arial"/>
          <w:color w:val="333333"/>
          <w:kern w:val="0"/>
          <w:sz w:val="26"/>
          <w:szCs w:val="26"/>
          <w:lang w:eastAsia="es-UY"/>
          <w14:ligatures w14:val="none"/>
        </w:rPr>
        <w:fldChar w:fldCharType="end"/>
      </w:r>
      <w:r w:rsidRPr="00707D13">
        <w:rPr>
          <w:rFonts w:ascii="Arial" w:eastAsia="Times New Roman" w:hAnsi="Arial" w:cs="Arial"/>
          <w:color w:val="333333"/>
          <w:kern w:val="0"/>
          <w:sz w:val="26"/>
          <w:szCs w:val="26"/>
          <w:lang w:eastAsia="es-UY"/>
          <w14:ligatures w14:val="none"/>
        </w:rPr>
        <w:t> . Esta nueva explicación teológica que el mundo anglosajón llamó encarnación profunda, por tanto, no está ausente en el mundo teológico latino, aunque sólo sea en las corrientes de investigación que se refieren a </w:t>
      </w:r>
      <w:r w:rsidRPr="00707D13">
        <w:rPr>
          <w:rFonts w:ascii="Arial" w:eastAsia="Times New Roman" w:hAnsi="Arial" w:cs="Arial"/>
          <w:b/>
          <w:bCs/>
          <w:color w:val="333333"/>
          <w:kern w:val="0"/>
          <w:sz w:val="26"/>
          <w:szCs w:val="26"/>
          <w:lang w:eastAsia="es-UY"/>
          <w14:ligatures w14:val="none"/>
        </w:rPr>
        <w:t>Teilhard de Chardin</w:t>
      </w:r>
      <w:r w:rsidRPr="00707D13">
        <w:rPr>
          <w:rFonts w:ascii="Arial" w:eastAsia="Times New Roman" w:hAnsi="Arial" w:cs="Arial"/>
          <w:color w:val="333333"/>
          <w:kern w:val="0"/>
          <w:sz w:val="26"/>
          <w:szCs w:val="26"/>
          <w:lang w:eastAsia="es-UY"/>
          <w14:ligatures w14:val="none"/>
        </w:rPr>
        <w:t> .</w:t>
      </w:r>
    </w:p>
    <w:p w14:paraId="1BD3C5FD"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6002222F"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Por otro lado, en lo que respecta a la ontología relacional, es necesario destacar que </w:t>
      </w:r>
      <w:proofErr w:type="spellStart"/>
      <w:r w:rsidRPr="00707D13">
        <w:rPr>
          <w:rFonts w:ascii="Arial" w:eastAsia="Times New Roman" w:hAnsi="Arial" w:cs="Arial"/>
          <w:b/>
          <w:bCs/>
          <w:color w:val="333333"/>
          <w:kern w:val="0"/>
          <w:sz w:val="26"/>
          <w:szCs w:val="26"/>
          <w:lang w:eastAsia="es-UY"/>
          <w14:ligatures w14:val="none"/>
        </w:rPr>
        <w:t>Monchanin</w:t>
      </w:r>
      <w:proofErr w:type="spellEnd"/>
      <w:r w:rsidRPr="00707D13">
        <w:rPr>
          <w:rFonts w:ascii="Arial" w:eastAsia="Times New Roman" w:hAnsi="Arial" w:cs="Arial"/>
          <w:color w:val="333333"/>
          <w:kern w:val="0"/>
          <w:sz w:val="26"/>
          <w:szCs w:val="26"/>
          <w:lang w:eastAsia="es-UY"/>
          <w14:ligatures w14:val="none"/>
        </w:rPr>
        <w:t xml:space="preserve"> , además de un teórico del </w:t>
      </w:r>
      <w:proofErr w:type="spellStart"/>
      <w:r w:rsidRPr="00707D13">
        <w:rPr>
          <w:rFonts w:ascii="Arial" w:eastAsia="Times New Roman" w:hAnsi="Arial" w:cs="Arial"/>
          <w:color w:val="333333"/>
          <w:kern w:val="0"/>
          <w:sz w:val="26"/>
          <w:szCs w:val="26"/>
          <w:lang w:eastAsia="es-UY"/>
          <w14:ligatures w14:val="none"/>
        </w:rPr>
        <w:t>pancristismo</w:t>
      </w:r>
      <w:proofErr w:type="spellEnd"/>
      <w:r w:rsidRPr="00707D13">
        <w:rPr>
          <w:rFonts w:ascii="Arial" w:eastAsia="Times New Roman" w:hAnsi="Arial" w:cs="Arial"/>
          <w:color w:val="333333"/>
          <w:kern w:val="0"/>
          <w:sz w:val="26"/>
          <w:szCs w:val="26"/>
          <w:lang w:eastAsia="es-UY"/>
          <w14:ligatures w14:val="none"/>
        </w:rPr>
        <w:t>, fue también uno de los fundadores del personalismo (y antes del idealismo personalista), defendiendo, ya en los inicios, el Principios de los años 1990, 1930, la superación del sustancialismo ontológico. Por tanto, hay que considerarlo también un precursor de esa ontología trinitaria tan discutida y actual. El filósofo lionés, que vivió en un ambiente misionero indio en confrontación directa con el panteísmo, el impersonalismo y el idealismo del </w:t>
      </w:r>
      <w:proofErr w:type="spellStart"/>
      <w:r w:rsidRPr="00707D13">
        <w:rPr>
          <w:rFonts w:ascii="Arial" w:eastAsia="Times New Roman" w:hAnsi="Arial" w:cs="Arial"/>
          <w:b/>
          <w:bCs/>
          <w:color w:val="333333"/>
          <w:kern w:val="0"/>
          <w:sz w:val="26"/>
          <w:szCs w:val="26"/>
          <w:lang w:eastAsia="es-UY"/>
          <w14:ligatures w14:val="none"/>
        </w:rPr>
        <w:t>Vedanta</w:t>
      </w:r>
      <w:proofErr w:type="spellEnd"/>
      <w:r w:rsidRPr="00707D13">
        <w:rPr>
          <w:rFonts w:ascii="Arial" w:eastAsia="Times New Roman" w:hAnsi="Arial" w:cs="Arial"/>
          <w:color w:val="333333"/>
          <w:kern w:val="0"/>
          <w:sz w:val="26"/>
          <w:szCs w:val="26"/>
          <w:lang w:eastAsia="es-UY"/>
          <w14:ligatures w14:val="none"/>
        </w:rPr>
        <w:t xml:space="preserve"> , describió el ser como </w:t>
      </w:r>
      <w:proofErr w:type="spellStart"/>
      <w:r w:rsidRPr="00707D13">
        <w:rPr>
          <w:rFonts w:ascii="Arial" w:eastAsia="Times New Roman" w:hAnsi="Arial" w:cs="Arial"/>
          <w:color w:val="333333"/>
          <w:kern w:val="0"/>
          <w:sz w:val="26"/>
          <w:szCs w:val="26"/>
          <w:lang w:eastAsia="es-UY"/>
          <w14:ligatures w14:val="none"/>
        </w:rPr>
        <w:t>co-esse</w:t>
      </w:r>
      <w:proofErr w:type="spellEnd"/>
      <w:r w:rsidRPr="00707D13">
        <w:rPr>
          <w:rFonts w:ascii="Arial" w:eastAsia="Times New Roman" w:hAnsi="Arial" w:cs="Arial"/>
          <w:color w:val="333333"/>
          <w:kern w:val="0"/>
          <w:sz w:val="26"/>
          <w:szCs w:val="26"/>
          <w:lang w:eastAsia="es-UY"/>
          <w14:ligatures w14:val="none"/>
        </w:rPr>
        <w:t xml:space="preserve"> y ad, intentando así “romper” la ontología india para introducir en ella una visión personalista y trinitaria. discurso.</w:t>
      </w:r>
    </w:p>
    <w:p w14:paraId="2F2F7EDC"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4CE64B93"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Sus intuiciones filosóficas fueron luego transmitidas a dos de sus amigos: </w:t>
      </w:r>
      <w:hyperlink r:id="rId32" w:tgtFrame="_blank" w:history="1">
        <w:r w:rsidRPr="00707D13">
          <w:rPr>
            <w:rFonts w:ascii="Arial" w:eastAsia="Times New Roman" w:hAnsi="Arial" w:cs="Arial"/>
            <w:color w:val="FC6B01"/>
            <w:kern w:val="0"/>
            <w:sz w:val="26"/>
            <w:szCs w:val="26"/>
            <w:u w:val="single"/>
            <w:lang w:eastAsia="es-UY"/>
            <w14:ligatures w14:val="none"/>
          </w:rPr>
          <w:t xml:space="preserve">Henri Le </w:t>
        </w:r>
        <w:proofErr w:type="spellStart"/>
        <w:r w:rsidRPr="00707D13">
          <w:rPr>
            <w:rFonts w:ascii="Arial" w:eastAsia="Times New Roman" w:hAnsi="Arial" w:cs="Arial"/>
            <w:color w:val="FC6B01"/>
            <w:kern w:val="0"/>
            <w:sz w:val="26"/>
            <w:szCs w:val="26"/>
            <w:u w:val="single"/>
            <w:lang w:eastAsia="es-UY"/>
            <w14:ligatures w14:val="none"/>
          </w:rPr>
          <w:t>Saux</w:t>
        </w:r>
        <w:proofErr w:type="spellEnd"/>
      </w:hyperlink>
      <w:r w:rsidRPr="00707D13">
        <w:rPr>
          <w:rFonts w:ascii="Arial" w:eastAsia="Times New Roman" w:hAnsi="Arial" w:cs="Arial"/>
          <w:color w:val="333333"/>
          <w:kern w:val="0"/>
          <w:sz w:val="26"/>
          <w:szCs w:val="26"/>
          <w:lang w:eastAsia="es-UY"/>
          <w14:ligatures w14:val="none"/>
        </w:rPr>
        <w:t> , un monje que tuvo una experiencia yóguica, y </w:t>
      </w:r>
      <w:hyperlink r:id="rId33" w:tgtFrame="_blank" w:history="1">
        <w:r w:rsidRPr="00707D13">
          <w:rPr>
            <w:rFonts w:ascii="Arial" w:eastAsia="Times New Roman" w:hAnsi="Arial" w:cs="Arial"/>
            <w:color w:val="FC6B01"/>
            <w:kern w:val="0"/>
            <w:sz w:val="26"/>
            <w:szCs w:val="26"/>
            <w:u w:val="single"/>
            <w:lang w:eastAsia="es-UY"/>
            <w14:ligatures w14:val="none"/>
          </w:rPr>
          <w:t xml:space="preserve">Raimon </w:t>
        </w:r>
        <w:proofErr w:type="spellStart"/>
        <w:r w:rsidRPr="00707D13">
          <w:rPr>
            <w:rFonts w:ascii="Arial" w:eastAsia="Times New Roman" w:hAnsi="Arial" w:cs="Arial"/>
            <w:color w:val="FC6B01"/>
            <w:kern w:val="0"/>
            <w:sz w:val="26"/>
            <w:szCs w:val="26"/>
            <w:u w:val="single"/>
            <w:lang w:eastAsia="es-UY"/>
            <w14:ligatures w14:val="none"/>
          </w:rPr>
          <w:t>Panikkar</w:t>
        </w:r>
        <w:proofErr w:type="spellEnd"/>
      </w:hyperlink>
      <w:r w:rsidRPr="00707D13">
        <w:rPr>
          <w:rFonts w:ascii="Arial" w:eastAsia="Times New Roman" w:hAnsi="Arial" w:cs="Arial"/>
          <w:color w:val="333333"/>
          <w:kern w:val="0"/>
          <w:sz w:val="26"/>
          <w:szCs w:val="26"/>
          <w:lang w:eastAsia="es-UY"/>
          <w14:ligatures w14:val="none"/>
        </w:rPr>
        <w:t xml:space="preserve"> , cuyo </w:t>
      </w:r>
      <w:proofErr w:type="spellStart"/>
      <w:r w:rsidRPr="00707D13">
        <w:rPr>
          <w:rFonts w:ascii="Arial" w:eastAsia="Times New Roman" w:hAnsi="Arial" w:cs="Arial"/>
          <w:color w:val="333333"/>
          <w:kern w:val="0"/>
          <w:sz w:val="26"/>
          <w:szCs w:val="26"/>
          <w:lang w:eastAsia="es-UY"/>
          <w14:ligatures w14:val="none"/>
        </w:rPr>
        <w:t>cosmoteandrismo</w:t>
      </w:r>
      <w:proofErr w:type="spellEnd"/>
      <w:r w:rsidRPr="00707D13">
        <w:rPr>
          <w:rFonts w:ascii="Arial" w:eastAsia="Times New Roman" w:hAnsi="Arial" w:cs="Arial"/>
          <w:color w:val="333333"/>
          <w:kern w:val="0"/>
          <w:sz w:val="26"/>
          <w:szCs w:val="26"/>
          <w:lang w:eastAsia="es-UY"/>
          <w14:ligatures w14:val="none"/>
        </w:rPr>
        <w:t xml:space="preserve"> (de matriz </w:t>
      </w:r>
      <w:proofErr w:type="spellStart"/>
      <w:r w:rsidRPr="00707D13">
        <w:rPr>
          <w:rFonts w:ascii="Arial" w:eastAsia="Times New Roman" w:hAnsi="Arial" w:cs="Arial"/>
          <w:color w:val="333333"/>
          <w:kern w:val="0"/>
          <w:sz w:val="26"/>
          <w:szCs w:val="26"/>
          <w:lang w:eastAsia="es-UY"/>
          <w14:ligatures w14:val="none"/>
        </w:rPr>
        <w:t>teilhardiana</w:t>
      </w:r>
      <w:proofErr w:type="spellEnd"/>
      <w:r w:rsidRPr="00707D13">
        <w:rPr>
          <w:rFonts w:ascii="Arial" w:eastAsia="Times New Roman" w:hAnsi="Arial" w:cs="Arial"/>
          <w:color w:val="333333"/>
          <w:kern w:val="0"/>
          <w:sz w:val="26"/>
          <w:szCs w:val="26"/>
          <w:lang w:eastAsia="es-UY"/>
          <w14:ligatures w14:val="none"/>
        </w:rPr>
        <w:t>) también puede definirse como un </w:t>
      </w:r>
      <w:r w:rsidRPr="00707D13">
        <w:rPr>
          <w:rFonts w:ascii="Arial" w:eastAsia="Times New Roman" w:hAnsi="Arial" w:cs="Arial"/>
          <w:b/>
          <w:bCs/>
          <w:color w:val="333333"/>
          <w:kern w:val="0"/>
          <w:sz w:val="26"/>
          <w:szCs w:val="26"/>
          <w:lang w:eastAsia="es-UY"/>
          <w14:ligatures w14:val="none"/>
        </w:rPr>
        <w:t>panenteísmo</w:t>
      </w:r>
      <w:r w:rsidRPr="00707D13">
        <w:rPr>
          <w:rFonts w:ascii="Arial" w:eastAsia="Times New Roman" w:hAnsi="Arial" w:cs="Arial"/>
          <w:color w:val="333333"/>
          <w:kern w:val="0"/>
          <w:sz w:val="26"/>
          <w:szCs w:val="26"/>
          <w:lang w:eastAsia="es-UY"/>
          <w14:ligatures w14:val="none"/>
        </w:rPr>
        <w:t> que se enfrentaban, exactamente como los dos autores franceses, con el misticismo monista del no dualismo. Llegaron a conclusiones no diferentes: </w:t>
      </w:r>
      <w:r w:rsidRPr="00707D13">
        <w:rPr>
          <w:rFonts w:ascii="Arial" w:eastAsia="Times New Roman" w:hAnsi="Arial" w:cs="Arial"/>
          <w:b/>
          <w:bCs/>
          <w:color w:val="333333"/>
          <w:kern w:val="0"/>
          <w:sz w:val="26"/>
          <w:szCs w:val="26"/>
          <w:lang w:eastAsia="es-UY"/>
          <w14:ligatures w14:val="none"/>
        </w:rPr>
        <w:t xml:space="preserve">Le </w:t>
      </w:r>
      <w:proofErr w:type="spellStart"/>
      <w:r w:rsidRPr="00707D13">
        <w:rPr>
          <w:rFonts w:ascii="Arial" w:eastAsia="Times New Roman" w:hAnsi="Arial" w:cs="Arial"/>
          <w:b/>
          <w:bCs/>
          <w:color w:val="333333"/>
          <w:kern w:val="0"/>
          <w:sz w:val="26"/>
          <w:szCs w:val="26"/>
          <w:lang w:eastAsia="es-UY"/>
          <w14:ligatures w14:val="none"/>
        </w:rPr>
        <w:t>Saux</w:t>
      </w:r>
      <w:proofErr w:type="spellEnd"/>
      <w:r w:rsidRPr="00707D13">
        <w:rPr>
          <w:rFonts w:ascii="Arial" w:eastAsia="Times New Roman" w:hAnsi="Arial" w:cs="Arial"/>
          <w:color w:val="333333"/>
          <w:kern w:val="0"/>
          <w:sz w:val="26"/>
          <w:szCs w:val="26"/>
          <w:lang w:eastAsia="es-UY"/>
          <w14:ligatures w14:val="none"/>
        </w:rPr>
        <w:t> describió un “</w:t>
      </w:r>
      <w:proofErr w:type="spellStart"/>
      <w:r w:rsidRPr="00707D13">
        <w:rPr>
          <w:rFonts w:ascii="Arial" w:eastAsia="Times New Roman" w:hAnsi="Arial" w:cs="Arial"/>
          <w:color w:val="333333"/>
          <w:kern w:val="0"/>
          <w:sz w:val="26"/>
          <w:szCs w:val="26"/>
          <w:lang w:eastAsia="es-UY"/>
          <w14:ligatures w14:val="none"/>
        </w:rPr>
        <w:t>advaita</w:t>
      </w:r>
      <w:proofErr w:type="spellEnd"/>
      <w:r w:rsidRPr="00707D13">
        <w:rPr>
          <w:rFonts w:ascii="Arial" w:eastAsia="Times New Roman" w:hAnsi="Arial" w:cs="Arial"/>
          <w:color w:val="333333"/>
          <w:kern w:val="0"/>
          <w:sz w:val="26"/>
          <w:szCs w:val="26"/>
          <w:lang w:eastAsia="es-UY"/>
          <w14:ligatures w14:val="none"/>
        </w:rPr>
        <w:t xml:space="preserve"> cristiano del Espíritu”, mientras que </w:t>
      </w:r>
      <w:proofErr w:type="spellStart"/>
      <w:r w:rsidRPr="00707D13">
        <w:rPr>
          <w:rFonts w:ascii="Arial" w:eastAsia="Times New Roman" w:hAnsi="Arial" w:cs="Arial"/>
          <w:b/>
          <w:bCs/>
          <w:color w:val="333333"/>
          <w:kern w:val="0"/>
          <w:sz w:val="26"/>
          <w:szCs w:val="26"/>
          <w:lang w:eastAsia="es-UY"/>
          <w14:ligatures w14:val="none"/>
        </w:rPr>
        <w:t>Panikkar</w:t>
      </w:r>
      <w:proofErr w:type="spellEnd"/>
      <w:r w:rsidRPr="00707D13">
        <w:rPr>
          <w:rFonts w:ascii="Arial" w:eastAsia="Times New Roman" w:hAnsi="Arial" w:cs="Arial"/>
          <w:color w:val="333333"/>
          <w:kern w:val="0"/>
          <w:sz w:val="26"/>
          <w:szCs w:val="26"/>
          <w:lang w:eastAsia="es-UY"/>
          <w14:ligatures w14:val="none"/>
        </w:rPr>
        <w:t> , por otro lado, transformó el monismo en ontología relacional al hablar de “a-dualismo”.</w:t>
      </w:r>
    </w:p>
    <w:p w14:paraId="39EE32D3"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lastRenderedPageBreak/>
        <w:t>En definitiva, tanto la reflexión sobre la encarnación profunda como la ontología relacional no pueden ignorar el misticismo comparado y aquellas teologías contextuales en las que el mensaje cristiano se ha puesto en confrontación con </w:t>
      </w:r>
      <w:r w:rsidRPr="00707D13">
        <w:rPr>
          <w:rFonts w:ascii="Arial" w:eastAsia="Times New Roman" w:hAnsi="Arial" w:cs="Arial"/>
          <w:b/>
          <w:bCs/>
          <w:color w:val="333333"/>
          <w:kern w:val="0"/>
          <w:sz w:val="26"/>
          <w:szCs w:val="26"/>
          <w:lang w:eastAsia="es-UY"/>
          <w14:ligatures w14:val="none"/>
        </w:rPr>
        <w:t>el hinduismo</w:t>
      </w:r>
      <w:r w:rsidRPr="00707D13">
        <w:rPr>
          <w:rFonts w:ascii="Arial" w:eastAsia="Times New Roman" w:hAnsi="Arial" w:cs="Arial"/>
          <w:color w:val="333333"/>
          <w:kern w:val="0"/>
          <w:sz w:val="26"/>
          <w:szCs w:val="26"/>
          <w:lang w:eastAsia="es-UY"/>
          <w14:ligatures w14:val="none"/>
        </w:rPr>
        <w:t> y </w:t>
      </w:r>
      <w:r w:rsidRPr="00707D13">
        <w:rPr>
          <w:rFonts w:ascii="Arial" w:eastAsia="Times New Roman" w:hAnsi="Arial" w:cs="Arial"/>
          <w:b/>
          <w:bCs/>
          <w:color w:val="333333"/>
          <w:kern w:val="0"/>
          <w:sz w:val="26"/>
          <w:szCs w:val="26"/>
          <w:lang w:eastAsia="es-UY"/>
          <w14:ligatures w14:val="none"/>
        </w:rPr>
        <w:t>el budismo</w:t>
      </w:r>
      <w:r w:rsidRPr="00707D13">
        <w:rPr>
          <w:rFonts w:ascii="Arial" w:eastAsia="Times New Roman" w:hAnsi="Arial" w:cs="Arial"/>
          <w:color w:val="333333"/>
          <w:kern w:val="0"/>
          <w:sz w:val="26"/>
          <w:szCs w:val="26"/>
          <w:lang w:eastAsia="es-UY"/>
          <w14:ligatures w14:val="none"/>
        </w:rPr>
        <w:t> , e incluso con </w:t>
      </w:r>
      <w:r w:rsidRPr="00707D13">
        <w:rPr>
          <w:rFonts w:ascii="Arial" w:eastAsia="Times New Roman" w:hAnsi="Arial" w:cs="Arial"/>
          <w:b/>
          <w:bCs/>
          <w:color w:val="333333"/>
          <w:kern w:val="0"/>
          <w:sz w:val="26"/>
          <w:szCs w:val="26"/>
          <w:lang w:eastAsia="es-UY"/>
          <w14:ligatures w14:val="none"/>
        </w:rPr>
        <w:t>el taoísmo</w:t>
      </w:r>
      <w:r w:rsidRPr="00707D13">
        <w:rPr>
          <w:rFonts w:ascii="Arial" w:eastAsia="Times New Roman" w:hAnsi="Arial" w:cs="Arial"/>
          <w:color w:val="333333"/>
          <w:kern w:val="0"/>
          <w:sz w:val="26"/>
          <w:szCs w:val="26"/>
          <w:lang w:eastAsia="es-UY"/>
          <w14:ligatures w14:val="none"/>
        </w:rPr>
        <w:t> .</w:t>
      </w:r>
    </w:p>
    <w:p w14:paraId="02209C20"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Los autores antes mencionados, siguiendo en gran medida las intuiciones originales de </w:t>
      </w:r>
      <w:proofErr w:type="spellStart"/>
      <w:r w:rsidRPr="00707D13">
        <w:rPr>
          <w:rFonts w:ascii="Arial" w:eastAsia="Times New Roman" w:hAnsi="Arial" w:cs="Arial"/>
          <w:b/>
          <w:bCs/>
          <w:color w:val="333333"/>
          <w:kern w:val="0"/>
          <w:sz w:val="26"/>
          <w:szCs w:val="26"/>
          <w:lang w:eastAsia="es-UY"/>
          <w14:ligatures w14:val="none"/>
        </w:rPr>
        <w:t>Monchanin</w:t>
      </w:r>
      <w:proofErr w:type="spellEnd"/>
      <w:r w:rsidRPr="00707D13">
        <w:rPr>
          <w:rFonts w:ascii="Arial" w:eastAsia="Times New Roman" w:hAnsi="Arial" w:cs="Arial"/>
          <w:color w:val="333333"/>
          <w:kern w:val="0"/>
          <w:sz w:val="26"/>
          <w:szCs w:val="26"/>
          <w:lang w:eastAsia="es-UY"/>
          <w14:ligatures w14:val="none"/>
        </w:rPr>
        <w:t> , ya habían llegado a principios de los años 1950 a los escenarios discutidos hoy por la encarnación profunda y la ontología relacional. No sólo anticiparon sus conclusiones, sino que también llegaron a ellas de una manera diferente. camino del pensamiento: la teología de la imagen de </w:t>
      </w:r>
      <w:r w:rsidRPr="00707D13">
        <w:rPr>
          <w:rFonts w:ascii="Arial" w:eastAsia="Times New Roman" w:hAnsi="Arial" w:cs="Arial"/>
          <w:b/>
          <w:bCs/>
          <w:color w:val="333333"/>
          <w:kern w:val="0"/>
          <w:sz w:val="26"/>
          <w:szCs w:val="26"/>
          <w:lang w:eastAsia="es-UY"/>
          <w14:ligatures w14:val="none"/>
        </w:rPr>
        <w:t>Gregorio de Nisa</w:t>
      </w:r>
      <w:r w:rsidRPr="00707D13">
        <w:rPr>
          <w:rFonts w:ascii="Arial" w:eastAsia="Times New Roman" w:hAnsi="Arial" w:cs="Arial"/>
          <w:color w:val="333333"/>
          <w:kern w:val="0"/>
          <w:sz w:val="26"/>
          <w:szCs w:val="26"/>
          <w:lang w:eastAsia="es-UY"/>
          <w14:ligatures w14:val="none"/>
        </w:rPr>
        <w:t xml:space="preserve"> , el </w:t>
      </w:r>
      <w:proofErr w:type="spellStart"/>
      <w:r w:rsidRPr="00707D13">
        <w:rPr>
          <w:rFonts w:ascii="Arial" w:eastAsia="Times New Roman" w:hAnsi="Arial" w:cs="Arial"/>
          <w:color w:val="333333"/>
          <w:kern w:val="0"/>
          <w:sz w:val="26"/>
          <w:szCs w:val="26"/>
          <w:lang w:eastAsia="es-UY"/>
          <w14:ligatures w14:val="none"/>
        </w:rPr>
        <w:t>hesicasmo</w:t>
      </w:r>
      <w:proofErr w:type="spellEnd"/>
      <w:r w:rsidRPr="00707D13">
        <w:rPr>
          <w:rFonts w:ascii="Arial" w:eastAsia="Times New Roman" w:hAnsi="Arial" w:cs="Arial"/>
          <w:color w:val="333333"/>
          <w:kern w:val="0"/>
          <w:sz w:val="26"/>
          <w:szCs w:val="26"/>
          <w:lang w:eastAsia="es-UY"/>
          <w14:ligatures w14:val="none"/>
        </w:rPr>
        <w:t xml:space="preserve">, el </w:t>
      </w:r>
      <w:proofErr w:type="spellStart"/>
      <w:r w:rsidRPr="00707D13">
        <w:rPr>
          <w:rFonts w:ascii="Arial" w:eastAsia="Times New Roman" w:hAnsi="Arial" w:cs="Arial"/>
          <w:color w:val="333333"/>
          <w:kern w:val="0"/>
          <w:sz w:val="26"/>
          <w:szCs w:val="26"/>
          <w:lang w:eastAsia="es-UY"/>
          <w14:ligatures w14:val="none"/>
        </w:rPr>
        <w:t>palamismo</w:t>
      </w:r>
      <w:proofErr w:type="spellEnd"/>
      <w:r w:rsidRPr="00707D13">
        <w:rPr>
          <w:rFonts w:ascii="Arial" w:eastAsia="Times New Roman" w:hAnsi="Arial" w:cs="Arial"/>
          <w:color w:val="333333"/>
          <w:kern w:val="0"/>
          <w:sz w:val="26"/>
          <w:szCs w:val="26"/>
          <w:lang w:eastAsia="es-UY"/>
          <w14:ligatures w14:val="none"/>
        </w:rPr>
        <w:t xml:space="preserve">, el </w:t>
      </w:r>
      <w:proofErr w:type="spellStart"/>
      <w:r w:rsidRPr="00707D13">
        <w:rPr>
          <w:rFonts w:ascii="Arial" w:eastAsia="Times New Roman" w:hAnsi="Arial" w:cs="Arial"/>
          <w:color w:val="333333"/>
          <w:kern w:val="0"/>
          <w:sz w:val="26"/>
          <w:szCs w:val="26"/>
          <w:lang w:eastAsia="es-UY"/>
          <w14:ligatures w14:val="none"/>
        </w:rPr>
        <w:t>pancristismo</w:t>
      </w:r>
      <w:proofErr w:type="spellEnd"/>
      <w:r w:rsidRPr="00707D13">
        <w:rPr>
          <w:rFonts w:ascii="Arial" w:eastAsia="Times New Roman" w:hAnsi="Arial" w:cs="Arial"/>
          <w:color w:val="333333"/>
          <w:kern w:val="0"/>
          <w:sz w:val="26"/>
          <w:szCs w:val="26"/>
          <w:lang w:eastAsia="es-UY"/>
          <w14:ligatures w14:val="none"/>
        </w:rPr>
        <w:t xml:space="preserve"> evolutivo de </w:t>
      </w:r>
      <w:r w:rsidRPr="00707D13">
        <w:rPr>
          <w:rFonts w:ascii="Arial" w:eastAsia="Times New Roman" w:hAnsi="Arial" w:cs="Arial"/>
          <w:b/>
          <w:bCs/>
          <w:color w:val="333333"/>
          <w:kern w:val="0"/>
          <w:sz w:val="26"/>
          <w:szCs w:val="26"/>
          <w:lang w:eastAsia="es-UY"/>
          <w14:ligatures w14:val="none"/>
        </w:rPr>
        <w:t>Teilhard de Chardin</w:t>
      </w:r>
      <w:r w:rsidRPr="00707D13">
        <w:rPr>
          <w:rFonts w:ascii="Arial" w:eastAsia="Times New Roman" w:hAnsi="Arial" w:cs="Arial"/>
          <w:color w:val="333333"/>
          <w:kern w:val="0"/>
          <w:sz w:val="26"/>
          <w:szCs w:val="26"/>
          <w:lang w:eastAsia="es-UY"/>
          <w14:ligatures w14:val="none"/>
        </w:rPr>
        <w:t> , el misticismo Renano-flamenco y el personalismo.</w:t>
      </w:r>
    </w:p>
    <w:p w14:paraId="62D20BCA"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38123870"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 xml:space="preserve">Es necesario, por tanto, reiterar que la teología misionera que dialogó en la India con el monismo </w:t>
      </w:r>
      <w:proofErr w:type="spellStart"/>
      <w:r w:rsidRPr="00707D13">
        <w:rPr>
          <w:rFonts w:ascii="Arial" w:eastAsia="Times New Roman" w:hAnsi="Arial" w:cs="Arial"/>
          <w:color w:val="333333"/>
          <w:kern w:val="0"/>
          <w:sz w:val="26"/>
          <w:szCs w:val="26"/>
          <w:lang w:eastAsia="es-UY"/>
          <w14:ligatures w14:val="none"/>
        </w:rPr>
        <w:t>vedántico</w:t>
      </w:r>
      <w:proofErr w:type="spellEnd"/>
      <w:r w:rsidRPr="00707D13">
        <w:rPr>
          <w:rFonts w:ascii="Arial" w:eastAsia="Times New Roman" w:hAnsi="Arial" w:cs="Arial"/>
          <w:color w:val="333333"/>
          <w:kern w:val="0"/>
          <w:sz w:val="26"/>
          <w:szCs w:val="26"/>
          <w:lang w:eastAsia="es-UY"/>
          <w14:ligatures w14:val="none"/>
        </w:rPr>
        <w:t xml:space="preserve"> -se espera que se empiece a hablar de la “ </w:t>
      </w:r>
      <w:r w:rsidRPr="00707D13">
        <w:rPr>
          <w:rFonts w:ascii="Arial" w:eastAsia="Times New Roman" w:hAnsi="Arial" w:cs="Arial"/>
          <w:b/>
          <w:bCs/>
          <w:color w:val="333333"/>
          <w:kern w:val="0"/>
          <w:sz w:val="26"/>
          <w:szCs w:val="26"/>
          <w:lang w:eastAsia="es-UY"/>
          <w14:ligatures w14:val="none"/>
        </w:rPr>
        <w:t xml:space="preserve">Escuela Teológica </w:t>
      </w:r>
      <w:proofErr w:type="spellStart"/>
      <w:r w:rsidRPr="00707D13">
        <w:rPr>
          <w:rFonts w:ascii="Arial" w:eastAsia="Times New Roman" w:hAnsi="Arial" w:cs="Arial"/>
          <w:b/>
          <w:bCs/>
          <w:color w:val="333333"/>
          <w:kern w:val="0"/>
          <w:sz w:val="26"/>
          <w:szCs w:val="26"/>
          <w:lang w:eastAsia="es-UY"/>
          <w14:ligatures w14:val="none"/>
        </w:rPr>
        <w:t>Shantivanam</w:t>
      </w:r>
      <w:proofErr w:type="spellEnd"/>
      <w:r w:rsidRPr="00707D13">
        <w:rPr>
          <w:rFonts w:ascii="Arial" w:eastAsia="Times New Roman" w:hAnsi="Arial" w:cs="Arial"/>
          <w:color w:val="333333"/>
          <w:kern w:val="0"/>
          <w:sz w:val="26"/>
          <w:szCs w:val="26"/>
          <w:lang w:eastAsia="es-UY"/>
          <w14:ligatures w14:val="none"/>
        </w:rPr>
        <w:t> ” en honor a las obras de </w:t>
      </w:r>
      <w:proofErr w:type="spellStart"/>
      <w:r w:rsidRPr="00707D13">
        <w:rPr>
          <w:rFonts w:ascii="Arial" w:eastAsia="Times New Roman" w:hAnsi="Arial" w:cs="Arial"/>
          <w:b/>
          <w:bCs/>
          <w:color w:val="333333"/>
          <w:kern w:val="0"/>
          <w:sz w:val="26"/>
          <w:szCs w:val="26"/>
          <w:lang w:eastAsia="es-UY"/>
          <w14:ligatures w14:val="none"/>
        </w:rPr>
        <w:t>Upadhyaya</w:t>
      </w:r>
      <w:proofErr w:type="spellEnd"/>
      <w:r w:rsidRPr="00707D13">
        <w:rPr>
          <w:rFonts w:ascii="Arial" w:eastAsia="Times New Roman" w:hAnsi="Arial" w:cs="Arial"/>
          <w:color w:val="333333"/>
          <w:kern w:val="0"/>
          <w:sz w:val="26"/>
          <w:szCs w:val="26"/>
          <w:lang w:eastAsia="es-UY"/>
          <w14:ligatures w14:val="none"/>
        </w:rPr>
        <w:t> , </w:t>
      </w:r>
      <w:proofErr w:type="spellStart"/>
      <w:r w:rsidRPr="00707D13">
        <w:rPr>
          <w:rFonts w:ascii="Arial" w:eastAsia="Times New Roman" w:hAnsi="Arial" w:cs="Arial"/>
          <w:b/>
          <w:bCs/>
          <w:color w:val="333333"/>
          <w:kern w:val="0"/>
          <w:sz w:val="26"/>
          <w:szCs w:val="26"/>
          <w:lang w:eastAsia="es-UY"/>
          <w14:ligatures w14:val="none"/>
        </w:rPr>
        <w:t>Monchanin</w:t>
      </w:r>
      <w:proofErr w:type="spellEnd"/>
      <w:r w:rsidRPr="00707D13">
        <w:rPr>
          <w:rFonts w:ascii="Arial" w:eastAsia="Times New Roman" w:hAnsi="Arial" w:cs="Arial"/>
          <w:b/>
          <w:bCs/>
          <w:color w:val="333333"/>
          <w:kern w:val="0"/>
          <w:sz w:val="26"/>
          <w:szCs w:val="26"/>
          <w:lang w:eastAsia="es-UY"/>
          <w14:ligatures w14:val="none"/>
        </w:rPr>
        <w:t xml:space="preserve">, Le </w:t>
      </w:r>
      <w:proofErr w:type="spellStart"/>
      <w:r w:rsidRPr="00707D13">
        <w:rPr>
          <w:rFonts w:ascii="Arial" w:eastAsia="Times New Roman" w:hAnsi="Arial" w:cs="Arial"/>
          <w:b/>
          <w:bCs/>
          <w:color w:val="333333"/>
          <w:kern w:val="0"/>
          <w:sz w:val="26"/>
          <w:szCs w:val="26"/>
          <w:lang w:eastAsia="es-UY"/>
          <w14:ligatures w14:val="none"/>
        </w:rPr>
        <w:t>Saux</w:t>
      </w:r>
      <w:proofErr w:type="spellEnd"/>
      <w:r w:rsidRPr="00707D13">
        <w:rPr>
          <w:rFonts w:ascii="Arial" w:eastAsia="Times New Roman" w:hAnsi="Arial" w:cs="Arial"/>
          <w:b/>
          <w:bCs/>
          <w:color w:val="333333"/>
          <w:kern w:val="0"/>
          <w:sz w:val="26"/>
          <w:szCs w:val="26"/>
          <w:lang w:eastAsia="es-UY"/>
          <w14:ligatures w14:val="none"/>
        </w:rPr>
        <w:t>, Griffiths</w:t>
      </w:r>
      <w:r w:rsidRPr="00707D13">
        <w:rPr>
          <w:rFonts w:ascii="Arial" w:eastAsia="Times New Roman" w:hAnsi="Arial" w:cs="Arial"/>
          <w:color w:val="333333"/>
          <w:kern w:val="0"/>
          <w:sz w:val="26"/>
          <w:szCs w:val="26"/>
          <w:lang w:eastAsia="es-UY"/>
          <w14:ligatures w14:val="none"/>
        </w:rPr>
        <w:t> y </w:t>
      </w:r>
      <w:proofErr w:type="spellStart"/>
      <w:r w:rsidRPr="00707D13">
        <w:rPr>
          <w:rFonts w:ascii="Arial" w:eastAsia="Times New Roman" w:hAnsi="Arial" w:cs="Arial"/>
          <w:b/>
          <w:bCs/>
          <w:color w:val="333333"/>
          <w:kern w:val="0"/>
          <w:sz w:val="26"/>
          <w:szCs w:val="26"/>
          <w:lang w:eastAsia="es-UY"/>
          <w14:ligatures w14:val="none"/>
        </w:rPr>
        <w:t>Panikkar</w:t>
      </w:r>
      <w:proofErr w:type="spellEnd"/>
      <w:r w:rsidRPr="00707D13">
        <w:rPr>
          <w:rFonts w:ascii="Arial" w:eastAsia="Times New Roman" w:hAnsi="Arial" w:cs="Arial"/>
          <w:color w:val="333333"/>
          <w:kern w:val="0"/>
          <w:sz w:val="26"/>
          <w:szCs w:val="26"/>
          <w:lang w:eastAsia="es-UY"/>
          <w14:ligatures w14:val="none"/>
        </w:rPr>
        <w:t> no sólo anticipó la encarnación profunda y la ontología relacional, sino que incluso pensó en ellas comparativamente, aunque con menos sistematicidad.</w:t>
      </w:r>
    </w:p>
    <w:p w14:paraId="42E6CE64"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2E0BFF1A"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Se puede añadir, por ejemplo, que </w:t>
      </w:r>
      <w:proofErr w:type="spellStart"/>
      <w:r w:rsidRPr="00707D13">
        <w:rPr>
          <w:rFonts w:ascii="Arial" w:eastAsia="Times New Roman" w:hAnsi="Arial" w:cs="Arial"/>
          <w:b/>
          <w:bCs/>
          <w:color w:val="333333"/>
          <w:kern w:val="0"/>
          <w:sz w:val="26"/>
          <w:szCs w:val="26"/>
          <w:lang w:eastAsia="es-UY"/>
          <w14:ligatures w14:val="none"/>
        </w:rPr>
        <w:t>Monchanin</w:t>
      </w:r>
      <w:proofErr w:type="spellEnd"/>
      <w:r w:rsidRPr="00707D13">
        <w:rPr>
          <w:rFonts w:ascii="Arial" w:eastAsia="Times New Roman" w:hAnsi="Arial" w:cs="Arial"/>
          <w:color w:val="333333"/>
          <w:kern w:val="0"/>
          <w:sz w:val="26"/>
          <w:szCs w:val="26"/>
          <w:lang w:eastAsia="es-UY"/>
          <w14:ligatures w14:val="none"/>
        </w:rPr>
        <w:t> - a quien debemos, según </w:t>
      </w:r>
      <w:r w:rsidRPr="00707D13">
        <w:rPr>
          <w:rFonts w:ascii="Arial" w:eastAsia="Times New Roman" w:hAnsi="Arial" w:cs="Arial"/>
          <w:b/>
          <w:bCs/>
          <w:color w:val="333333"/>
          <w:kern w:val="0"/>
          <w:sz w:val="26"/>
          <w:szCs w:val="26"/>
          <w:lang w:eastAsia="es-UY"/>
          <w14:ligatures w14:val="none"/>
        </w:rPr>
        <w:t xml:space="preserve">de </w:t>
      </w:r>
      <w:proofErr w:type="spellStart"/>
      <w:r w:rsidRPr="00707D13">
        <w:rPr>
          <w:rFonts w:ascii="Arial" w:eastAsia="Times New Roman" w:hAnsi="Arial" w:cs="Arial"/>
          <w:b/>
          <w:bCs/>
          <w:color w:val="333333"/>
          <w:kern w:val="0"/>
          <w:sz w:val="26"/>
          <w:szCs w:val="26"/>
          <w:lang w:eastAsia="es-UY"/>
          <w14:ligatures w14:val="none"/>
        </w:rPr>
        <w:t>Lubac</w:t>
      </w:r>
      <w:proofErr w:type="spellEnd"/>
      <w:r w:rsidRPr="00707D13">
        <w:rPr>
          <w:rFonts w:ascii="Arial" w:eastAsia="Times New Roman" w:hAnsi="Arial" w:cs="Arial"/>
          <w:color w:val="333333"/>
          <w:kern w:val="0"/>
          <w:sz w:val="26"/>
          <w:szCs w:val="26"/>
          <w:lang w:eastAsia="es-UY"/>
          <w14:ligatures w14:val="none"/>
        </w:rPr>
        <w:t> , una relectura más equilibrada y doctrinalmente correcta de </w:t>
      </w:r>
      <w:r w:rsidRPr="00707D13">
        <w:rPr>
          <w:rFonts w:ascii="Arial" w:eastAsia="Times New Roman" w:hAnsi="Arial" w:cs="Arial"/>
          <w:b/>
          <w:bCs/>
          <w:color w:val="333333"/>
          <w:kern w:val="0"/>
          <w:sz w:val="26"/>
          <w:szCs w:val="26"/>
          <w:lang w:eastAsia="es-UY"/>
          <w14:ligatures w14:val="none"/>
        </w:rPr>
        <w:t>Teilhard de Chardin</w:t>
      </w:r>
      <w:r w:rsidRPr="00707D13">
        <w:rPr>
          <w:rFonts w:ascii="Arial" w:eastAsia="Times New Roman" w:hAnsi="Arial" w:cs="Arial"/>
          <w:color w:val="333333"/>
          <w:kern w:val="0"/>
          <w:sz w:val="26"/>
          <w:szCs w:val="26"/>
          <w:lang w:eastAsia="es-UY"/>
          <w14:ligatures w14:val="none"/>
        </w:rPr>
        <w:t> - habló de Cristo como “la forma entera” y “Uno en lo múltiple”. . El misionero </w:t>
      </w:r>
      <w:r w:rsidRPr="00707D13">
        <w:rPr>
          <w:rFonts w:ascii="Arial" w:eastAsia="Times New Roman" w:hAnsi="Arial" w:cs="Arial"/>
          <w:b/>
          <w:bCs/>
          <w:color w:val="333333"/>
          <w:kern w:val="0"/>
          <w:sz w:val="26"/>
          <w:szCs w:val="26"/>
          <w:lang w:eastAsia="es-UY"/>
          <w14:ligatures w14:val="none"/>
        </w:rPr>
        <w:t>lionés</w:t>
      </w:r>
      <w:r w:rsidRPr="00707D13">
        <w:rPr>
          <w:rFonts w:ascii="Arial" w:eastAsia="Times New Roman" w:hAnsi="Arial" w:cs="Arial"/>
          <w:color w:val="333333"/>
          <w:kern w:val="0"/>
          <w:sz w:val="26"/>
          <w:szCs w:val="26"/>
          <w:lang w:eastAsia="es-UY"/>
          <w14:ligatures w14:val="none"/>
        </w:rPr>
        <w:t> , en otras palabras, mucho antes que los autores de la encarnación profunda, leyó el logos como información sobre la materia.</w:t>
      </w:r>
    </w:p>
    <w:p w14:paraId="34224C3A"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1D464DD5"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No hay que olvidar, por citar otro ejemplo, que si </w:t>
      </w:r>
      <w:r w:rsidRPr="00707D13">
        <w:rPr>
          <w:rFonts w:ascii="Arial" w:eastAsia="Times New Roman" w:hAnsi="Arial" w:cs="Arial"/>
          <w:b/>
          <w:bCs/>
          <w:color w:val="333333"/>
          <w:kern w:val="0"/>
          <w:sz w:val="26"/>
          <w:szCs w:val="26"/>
          <w:lang w:eastAsia="es-UY"/>
          <w14:ligatures w14:val="none"/>
        </w:rPr>
        <w:t xml:space="preserve">Cecilia </w:t>
      </w:r>
      <w:proofErr w:type="spellStart"/>
      <w:r w:rsidRPr="00707D13">
        <w:rPr>
          <w:rFonts w:ascii="Arial" w:eastAsia="Times New Roman" w:hAnsi="Arial" w:cs="Arial"/>
          <w:b/>
          <w:bCs/>
          <w:color w:val="333333"/>
          <w:kern w:val="0"/>
          <w:sz w:val="26"/>
          <w:szCs w:val="26"/>
          <w:lang w:eastAsia="es-UY"/>
          <w14:ligatures w14:val="none"/>
        </w:rPr>
        <w:t>Deane</w:t>
      </w:r>
      <w:proofErr w:type="spellEnd"/>
      <w:r w:rsidRPr="00707D13">
        <w:rPr>
          <w:rFonts w:ascii="Arial" w:eastAsia="Times New Roman" w:hAnsi="Arial" w:cs="Arial"/>
          <w:b/>
          <w:bCs/>
          <w:color w:val="333333"/>
          <w:kern w:val="0"/>
          <w:sz w:val="26"/>
          <w:szCs w:val="26"/>
          <w:lang w:eastAsia="es-UY"/>
          <w14:ligatures w14:val="none"/>
        </w:rPr>
        <w:t>-Drummond</w:t>
      </w:r>
      <w:r w:rsidRPr="00707D13">
        <w:rPr>
          <w:rFonts w:ascii="Arial" w:eastAsia="Times New Roman" w:hAnsi="Arial" w:cs="Arial"/>
          <w:color w:val="333333"/>
          <w:kern w:val="0"/>
          <w:sz w:val="26"/>
          <w:szCs w:val="26"/>
          <w:lang w:eastAsia="es-UY"/>
          <w14:ligatures w14:val="none"/>
        </w:rPr>
        <w:t> comparó esta perspectiva con la teología de </w:t>
      </w:r>
      <w:proofErr w:type="spellStart"/>
      <w:r w:rsidRPr="00707D13">
        <w:rPr>
          <w:rFonts w:ascii="Arial" w:eastAsia="Times New Roman" w:hAnsi="Arial" w:cs="Arial"/>
          <w:b/>
          <w:bCs/>
          <w:color w:val="333333"/>
          <w:kern w:val="0"/>
          <w:sz w:val="26"/>
          <w:szCs w:val="26"/>
          <w:lang w:eastAsia="es-UY"/>
          <w14:ligatures w14:val="none"/>
        </w:rPr>
        <w:t>Bulgakov</w:t>
      </w:r>
      <w:proofErr w:type="spellEnd"/>
      <w:r w:rsidRPr="00707D13">
        <w:rPr>
          <w:rFonts w:ascii="Arial" w:eastAsia="Times New Roman" w:hAnsi="Arial" w:cs="Arial"/>
          <w:color w:val="333333"/>
          <w:kern w:val="0"/>
          <w:sz w:val="26"/>
          <w:szCs w:val="26"/>
          <w:lang w:eastAsia="es-UY"/>
          <w14:ligatures w14:val="none"/>
        </w:rPr>
        <w:t> , </w:t>
      </w:r>
      <w:proofErr w:type="spellStart"/>
      <w:r w:rsidRPr="00707D13">
        <w:rPr>
          <w:rFonts w:ascii="Arial" w:eastAsia="Times New Roman" w:hAnsi="Arial" w:cs="Arial"/>
          <w:b/>
          <w:bCs/>
          <w:color w:val="333333"/>
          <w:kern w:val="0"/>
          <w:sz w:val="26"/>
          <w:szCs w:val="26"/>
          <w:lang w:eastAsia="es-UY"/>
          <w14:ligatures w14:val="none"/>
        </w:rPr>
        <w:t>Monchanin</w:t>
      </w:r>
      <w:proofErr w:type="spellEnd"/>
      <w:r w:rsidRPr="00707D13">
        <w:rPr>
          <w:rFonts w:ascii="Arial" w:eastAsia="Times New Roman" w:hAnsi="Arial" w:cs="Arial"/>
          <w:color w:val="333333"/>
          <w:kern w:val="0"/>
          <w:sz w:val="26"/>
          <w:szCs w:val="26"/>
          <w:lang w:eastAsia="es-UY"/>
          <w14:ligatures w14:val="none"/>
        </w:rPr>
        <w:t> había dialogado personalmente con él. De hecho, el pensador ruso había reconocido en su colega francés una figura afín que lo había comprendido mejor que nadie en su vida. Sin profundizar más en el tema, hay que subrayar, sin embargo, que la supuesta originalidad de muchas teologías -sin excluir la de la encarnación profunda y la ontología relacional- a menudo resulta ser sólo relativa. Todo protagonismo teológico, es decir, antes de mirar hacia arriba y hacia adelante, haríamos bien en mirar hacia atrás para no traicionar nuestra deuda con quienes nos precedieron.</w:t>
      </w:r>
    </w:p>
    <w:p w14:paraId="17FBDC2B"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2D249F80"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t>En cualquier caso, es mérito de </w:t>
      </w:r>
      <w:proofErr w:type="spellStart"/>
      <w:r w:rsidRPr="00707D13">
        <w:rPr>
          <w:rFonts w:ascii="Arial" w:eastAsia="Times New Roman" w:hAnsi="Arial" w:cs="Arial"/>
          <w:b/>
          <w:bCs/>
          <w:color w:val="333333"/>
          <w:kern w:val="0"/>
          <w:sz w:val="26"/>
          <w:szCs w:val="26"/>
          <w:lang w:eastAsia="es-UY"/>
          <w14:ligatures w14:val="none"/>
        </w:rPr>
        <w:t>Fenaroli</w:t>
      </w:r>
      <w:proofErr w:type="spellEnd"/>
      <w:r w:rsidRPr="00707D13">
        <w:rPr>
          <w:rFonts w:ascii="Arial" w:eastAsia="Times New Roman" w:hAnsi="Arial" w:cs="Arial"/>
          <w:color w:val="333333"/>
          <w:kern w:val="0"/>
          <w:sz w:val="26"/>
          <w:szCs w:val="26"/>
          <w:lang w:eastAsia="es-UY"/>
          <w14:ligatures w14:val="none"/>
        </w:rPr>
        <w:t> el haber aportado estos horizontes a la reflexión teológica italiana. Su trabajo, junto con el de los autores recién mencionados, ayudará a desarrollar no sólo la teología de la encarnación profunda, sino también la teología universal considerada en su conjunto.</w:t>
      </w:r>
    </w:p>
    <w:p w14:paraId="7107B109" w14:textId="77777777" w:rsid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eastAsia="es-UY"/>
          <w14:ligatures w14:val="none"/>
        </w:rPr>
        <w:lastRenderedPageBreak/>
        <w:t>La Iglesia “en salida” necesita urgentemente una visión como la de la encarnación profunda, porque se muestra capaz de leer y narrar el cristianismo de manera innovadora.</w:t>
      </w:r>
    </w:p>
    <w:p w14:paraId="319ACA2C" w14:textId="77777777" w:rsidR="00707D13" w:rsidRPr="00707D13" w:rsidRDefault="00707D13" w:rsidP="00707D13">
      <w:pPr>
        <w:spacing w:after="0" w:line="240" w:lineRule="auto"/>
        <w:jc w:val="both"/>
        <w:rPr>
          <w:rFonts w:ascii="Arial" w:eastAsia="Times New Roman" w:hAnsi="Arial" w:cs="Arial"/>
          <w:color w:val="333333"/>
          <w:kern w:val="0"/>
          <w:sz w:val="26"/>
          <w:szCs w:val="26"/>
          <w:lang w:eastAsia="es-UY"/>
          <w14:ligatures w14:val="none"/>
        </w:rPr>
      </w:pPr>
    </w:p>
    <w:p w14:paraId="4F1FA7AC" w14:textId="77777777" w:rsidR="00707D13" w:rsidRPr="00707D13" w:rsidRDefault="00707D13" w:rsidP="00707D13">
      <w:pPr>
        <w:spacing w:after="0" w:line="240" w:lineRule="auto"/>
        <w:jc w:val="both"/>
        <w:outlineLvl w:val="1"/>
        <w:rPr>
          <w:rFonts w:ascii="Arial" w:eastAsia="Times New Roman" w:hAnsi="Arial" w:cs="Arial"/>
          <w:b/>
          <w:bCs/>
          <w:color w:val="333333"/>
          <w:kern w:val="0"/>
          <w:sz w:val="36"/>
          <w:szCs w:val="36"/>
          <w:lang w:eastAsia="es-UY"/>
          <w14:ligatures w14:val="none"/>
        </w:rPr>
      </w:pPr>
      <w:r w:rsidRPr="00707D13">
        <w:rPr>
          <w:rFonts w:ascii="Arial" w:eastAsia="Times New Roman" w:hAnsi="Arial" w:cs="Arial"/>
          <w:b/>
          <w:bCs/>
          <w:color w:val="333333"/>
          <w:kern w:val="0"/>
          <w:sz w:val="36"/>
          <w:szCs w:val="36"/>
          <w:lang w:eastAsia="es-UY"/>
          <w14:ligatures w14:val="none"/>
        </w:rPr>
        <w:t>Notas</w:t>
      </w:r>
    </w:p>
    <w:p w14:paraId="0C703FA3" w14:textId="77777777" w:rsidR="00707D13" w:rsidRDefault="00707D13" w:rsidP="00707D13">
      <w:pPr>
        <w:spacing w:after="0" w:line="240" w:lineRule="auto"/>
        <w:rPr>
          <w:rFonts w:ascii="Arial" w:eastAsia="Times New Roman" w:hAnsi="Arial" w:cs="Arial"/>
          <w:color w:val="333333"/>
          <w:kern w:val="0"/>
          <w:sz w:val="26"/>
          <w:szCs w:val="26"/>
          <w:lang w:eastAsia="es-UY"/>
          <w14:ligatures w14:val="none"/>
        </w:rPr>
      </w:pPr>
      <w:r w:rsidRPr="00707D13">
        <w:rPr>
          <w:rFonts w:ascii="Arial" w:eastAsia="Times New Roman" w:hAnsi="Arial" w:cs="Arial"/>
          <w:color w:val="333333"/>
          <w:kern w:val="0"/>
          <w:sz w:val="26"/>
          <w:szCs w:val="26"/>
          <w:lang w:val="it-IT" w:eastAsia="es-UY"/>
          <w14:ligatures w14:val="none"/>
        </w:rPr>
        <w:t>[1] Cf. R. Hale, </w:t>
      </w:r>
      <w:r w:rsidRPr="00707D13">
        <w:rPr>
          <w:rFonts w:ascii="Arial" w:eastAsia="Times New Roman" w:hAnsi="Arial" w:cs="Arial"/>
          <w:i/>
          <w:iCs/>
          <w:color w:val="333333"/>
          <w:kern w:val="0"/>
          <w:sz w:val="26"/>
          <w:szCs w:val="26"/>
          <w:lang w:val="it-IT" w:eastAsia="es-UY"/>
          <w14:ligatures w14:val="none"/>
        </w:rPr>
        <w:t>Il cosmo e Cristo. Basi di una teología de la ecología según Teilhard de Chardin</w:t>
      </w:r>
      <w:r w:rsidRPr="00707D13">
        <w:rPr>
          <w:rFonts w:ascii="Arial" w:eastAsia="Times New Roman" w:hAnsi="Arial" w:cs="Arial"/>
          <w:color w:val="333333"/>
          <w:kern w:val="0"/>
          <w:sz w:val="26"/>
          <w:szCs w:val="26"/>
          <w:lang w:val="it-IT" w:eastAsia="es-UY"/>
          <w14:ligatures w14:val="none"/>
        </w:rPr>
        <w:t> , Edizioni Camaldoli, Arezzo 1973.</w:t>
      </w:r>
      <w:r w:rsidRPr="00707D13">
        <w:rPr>
          <w:rFonts w:ascii="Arial" w:eastAsia="Times New Roman" w:hAnsi="Arial" w:cs="Arial"/>
          <w:color w:val="333333"/>
          <w:kern w:val="0"/>
          <w:sz w:val="26"/>
          <w:szCs w:val="26"/>
          <w:lang w:val="it-IT" w:eastAsia="es-UY"/>
          <w14:ligatures w14:val="none"/>
        </w:rPr>
        <w:br/>
        <w:t>[2] Cf. P. Trianni, “Il Cristo come cosmos. Hilado para una teología ecológica desde la cristología”, en E. Garlaschelli, G. Salmeri, P. Trianni (ed.), </w:t>
      </w:r>
      <w:r w:rsidRPr="00707D13">
        <w:rPr>
          <w:rFonts w:ascii="Arial" w:eastAsia="Times New Roman" w:hAnsi="Arial" w:cs="Arial"/>
          <w:i/>
          <w:iCs/>
          <w:color w:val="333333"/>
          <w:kern w:val="0"/>
          <w:sz w:val="26"/>
          <w:szCs w:val="26"/>
          <w:lang w:val="it-IT" w:eastAsia="es-UY"/>
          <w14:ligatures w14:val="none"/>
        </w:rPr>
        <w:t>Ma di' Looseno una parola Economia, ecology, speranza per i nostri giorni</w:t>
      </w:r>
      <w:r w:rsidRPr="00707D13">
        <w:rPr>
          <w:rFonts w:ascii="Arial" w:eastAsia="Times New Roman" w:hAnsi="Arial" w:cs="Arial"/>
          <w:color w:val="333333"/>
          <w:kern w:val="0"/>
          <w:sz w:val="26"/>
          <w:szCs w:val="26"/>
          <w:lang w:val="it-IT" w:eastAsia="es-UY"/>
          <w14:ligatures w14:val="none"/>
        </w:rPr>
        <w:t> , EDUcatt, Milán 2013, 37 -46 .</w:t>
      </w:r>
      <w:r w:rsidRPr="00707D13">
        <w:rPr>
          <w:rFonts w:ascii="Arial" w:eastAsia="Times New Roman" w:hAnsi="Arial" w:cs="Arial"/>
          <w:color w:val="333333"/>
          <w:kern w:val="0"/>
          <w:sz w:val="26"/>
          <w:szCs w:val="26"/>
          <w:lang w:val="it-IT" w:eastAsia="es-UY"/>
          <w14:ligatures w14:val="none"/>
        </w:rPr>
        <w:br/>
      </w:r>
      <w:r w:rsidRPr="00707D13">
        <w:rPr>
          <w:rFonts w:ascii="Arial" w:eastAsia="Times New Roman" w:hAnsi="Arial" w:cs="Arial"/>
          <w:color w:val="333333"/>
          <w:kern w:val="0"/>
          <w:sz w:val="26"/>
          <w:szCs w:val="26"/>
          <w:lang w:eastAsia="es-UY"/>
          <w14:ligatures w14:val="none"/>
        </w:rPr>
        <w:t xml:space="preserve">[3] Del blog teológico de </w:t>
      </w:r>
      <w:proofErr w:type="spellStart"/>
      <w:r w:rsidRPr="00707D13">
        <w:rPr>
          <w:rFonts w:ascii="Arial" w:eastAsia="Times New Roman" w:hAnsi="Arial" w:cs="Arial"/>
          <w:color w:val="333333"/>
          <w:kern w:val="0"/>
          <w:sz w:val="26"/>
          <w:szCs w:val="26"/>
          <w:lang w:eastAsia="es-UY"/>
          <w14:ligatures w14:val="none"/>
        </w:rPr>
        <w:t>Queriniana</w:t>
      </w:r>
      <w:proofErr w:type="spellEnd"/>
      <w:r w:rsidRPr="00707D13">
        <w:rPr>
          <w:rFonts w:ascii="Arial" w:eastAsia="Times New Roman" w:hAnsi="Arial" w:cs="Arial"/>
          <w:color w:val="333333"/>
          <w:kern w:val="0"/>
          <w:sz w:val="26"/>
          <w:szCs w:val="26"/>
          <w:lang w:eastAsia="es-UY"/>
          <w14:ligatures w14:val="none"/>
        </w:rPr>
        <w:t>.</w:t>
      </w:r>
      <w:r w:rsidRPr="00707D13">
        <w:rPr>
          <w:rFonts w:ascii="Arial" w:eastAsia="Times New Roman" w:hAnsi="Arial" w:cs="Arial"/>
          <w:color w:val="333333"/>
          <w:kern w:val="0"/>
          <w:sz w:val="26"/>
          <w:szCs w:val="26"/>
          <w:lang w:eastAsia="es-UY"/>
          <w14:ligatures w14:val="none"/>
        </w:rPr>
        <w:br/>
        <w:t xml:space="preserve">[4] Teologías actuales deudoras de la cristología de Teilhard de Chardin: D. Edwards, católico australiano; N. </w:t>
      </w:r>
      <w:proofErr w:type="spellStart"/>
      <w:r w:rsidRPr="00707D13">
        <w:rPr>
          <w:rFonts w:ascii="Arial" w:eastAsia="Times New Roman" w:hAnsi="Arial" w:cs="Arial"/>
          <w:color w:val="333333"/>
          <w:kern w:val="0"/>
          <w:sz w:val="26"/>
          <w:szCs w:val="26"/>
          <w:lang w:eastAsia="es-UY"/>
          <w14:ligatures w14:val="none"/>
        </w:rPr>
        <w:t>Gregersen</w:t>
      </w:r>
      <w:proofErr w:type="spellEnd"/>
      <w:r w:rsidRPr="00707D13">
        <w:rPr>
          <w:rFonts w:ascii="Arial" w:eastAsia="Times New Roman" w:hAnsi="Arial" w:cs="Arial"/>
          <w:color w:val="333333"/>
          <w:kern w:val="0"/>
          <w:sz w:val="26"/>
          <w:szCs w:val="26"/>
          <w:lang w:eastAsia="es-UY"/>
          <w14:ligatures w14:val="none"/>
        </w:rPr>
        <w:t xml:space="preserve">, protestante danés; C. </w:t>
      </w:r>
      <w:proofErr w:type="spellStart"/>
      <w:r w:rsidRPr="00707D13">
        <w:rPr>
          <w:rFonts w:ascii="Arial" w:eastAsia="Times New Roman" w:hAnsi="Arial" w:cs="Arial"/>
          <w:color w:val="333333"/>
          <w:kern w:val="0"/>
          <w:sz w:val="26"/>
          <w:szCs w:val="26"/>
          <w:lang w:eastAsia="es-UY"/>
          <w14:ligatures w14:val="none"/>
        </w:rPr>
        <w:t>Southgate</w:t>
      </w:r>
      <w:proofErr w:type="spellEnd"/>
      <w:r w:rsidRPr="00707D13">
        <w:rPr>
          <w:rFonts w:ascii="Arial" w:eastAsia="Times New Roman" w:hAnsi="Arial" w:cs="Arial"/>
          <w:color w:val="333333"/>
          <w:kern w:val="0"/>
          <w:sz w:val="26"/>
          <w:szCs w:val="26"/>
          <w:lang w:eastAsia="es-UY"/>
          <w14:ligatures w14:val="none"/>
        </w:rPr>
        <w:t>, anglicano inglés.</w:t>
      </w:r>
    </w:p>
    <w:p w14:paraId="3948885F" w14:textId="77777777" w:rsidR="00981AD7" w:rsidRPr="00707D13" w:rsidRDefault="00981AD7" w:rsidP="00707D13">
      <w:pPr>
        <w:spacing w:after="0" w:line="240" w:lineRule="auto"/>
        <w:rPr>
          <w:rFonts w:ascii="Arial" w:eastAsia="Times New Roman" w:hAnsi="Arial" w:cs="Arial"/>
          <w:color w:val="333333"/>
          <w:kern w:val="0"/>
          <w:sz w:val="26"/>
          <w:szCs w:val="26"/>
          <w:lang w:eastAsia="es-UY"/>
          <w14:ligatures w14:val="none"/>
        </w:rPr>
      </w:pPr>
    </w:p>
    <w:p w14:paraId="582C5987" w14:textId="60698EEF" w:rsidR="00926044" w:rsidRDefault="00707D13">
      <w:hyperlink r:id="rId34" w:history="1">
        <w:r w:rsidRPr="002D4C39">
          <w:rPr>
            <w:rStyle w:val="Hipervnculo"/>
          </w:rPr>
          <w:t>https://www.ihu.unisinos.br/647169-a-teologia-da-encarnacao-profunda-artigo-de-paolo-trianni?utm_campaign=newsletter_ihu__16-12-2024&amp;utm_medium=email&amp;utm_source=RD+Station</w:t>
        </w:r>
      </w:hyperlink>
    </w:p>
    <w:p w14:paraId="7E2C0E55" w14:textId="77777777" w:rsidR="00707D13" w:rsidRDefault="00707D13"/>
    <w:sectPr w:rsidR="00707D1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D13"/>
    <w:rsid w:val="00343B1B"/>
    <w:rsid w:val="00707D13"/>
    <w:rsid w:val="00926044"/>
    <w:rsid w:val="00981AD7"/>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B5F56"/>
  <w15:chartTrackingRefBased/>
  <w15:docId w15:val="{CF1C3E67-13DF-4914-9C6A-AD414439A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07D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07D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07D1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07D1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07D1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07D1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07D1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07D1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07D1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07D1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07D1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07D1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07D1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07D1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07D1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07D1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07D1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07D13"/>
    <w:rPr>
      <w:rFonts w:eastAsiaTheme="majorEastAsia" w:cstheme="majorBidi"/>
      <w:color w:val="272727" w:themeColor="text1" w:themeTint="D8"/>
    </w:rPr>
  </w:style>
  <w:style w:type="paragraph" w:styleId="Ttulo">
    <w:name w:val="Title"/>
    <w:basedOn w:val="Normal"/>
    <w:next w:val="Normal"/>
    <w:link w:val="TtuloCar"/>
    <w:uiPriority w:val="10"/>
    <w:qFormat/>
    <w:rsid w:val="00707D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07D1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07D1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07D1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07D13"/>
    <w:pPr>
      <w:spacing w:before="160"/>
      <w:jc w:val="center"/>
    </w:pPr>
    <w:rPr>
      <w:i/>
      <w:iCs/>
      <w:color w:val="404040" w:themeColor="text1" w:themeTint="BF"/>
    </w:rPr>
  </w:style>
  <w:style w:type="character" w:customStyle="1" w:styleId="CitaCar">
    <w:name w:val="Cita Car"/>
    <w:basedOn w:val="Fuentedeprrafopredeter"/>
    <w:link w:val="Cita"/>
    <w:uiPriority w:val="29"/>
    <w:rsid w:val="00707D13"/>
    <w:rPr>
      <w:i/>
      <w:iCs/>
      <w:color w:val="404040" w:themeColor="text1" w:themeTint="BF"/>
    </w:rPr>
  </w:style>
  <w:style w:type="paragraph" w:styleId="Prrafodelista">
    <w:name w:val="List Paragraph"/>
    <w:basedOn w:val="Normal"/>
    <w:uiPriority w:val="34"/>
    <w:qFormat/>
    <w:rsid w:val="00707D13"/>
    <w:pPr>
      <w:ind w:left="720"/>
      <w:contextualSpacing/>
    </w:pPr>
  </w:style>
  <w:style w:type="character" w:styleId="nfasisintenso">
    <w:name w:val="Intense Emphasis"/>
    <w:basedOn w:val="Fuentedeprrafopredeter"/>
    <w:uiPriority w:val="21"/>
    <w:qFormat/>
    <w:rsid w:val="00707D13"/>
    <w:rPr>
      <w:i/>
      <w:iCs/>
      <w:color w:val="0F4761" w:themeColor="accent1" w:themeShade="BF"/>
    </w:rPr>
  </w:style>
  <w:style w:type="paragraph" w:styleId="Citadestacada">
    <w:name w:val="Intense Quote"/>
    <w:basedOn w:val="Normal"/>
    <w:next w:val="Normal"/>
    <w:link w:val="CitadestacadaCar"/>
    <w:uiPriority w:val="30"/>
    <w:qFormat/>
    <w:rsid w:val="00707D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07D13"/>
    <w:rPr>
      <w:i/>
      <w:iCs/>
      <w:color w:val="0F4761" w:themeColor="accent1" w:themeShade="BF"/>
    </w:rPr>
  </w:style>
  <w:style w:type="character" w:styleId="Referenciaintensa">
    <w:name w:val="Intense Reference"/>
    <w:basedOn w:val="Fuentedeprrafopredeter"/>
    <w:uiPriority w:val="32"/>
    <w:qFormat/>
    <w:rsid w:val="00707D13"/>
    <w:rPr>
      <w:b/>
      <w:bCs/>
      <w:smallCaps/>
      <w:color w:val="0F4761" w:themeColor="accent1" w:themeShade="BF"/>
      <w:spacing w:val="5"/>
    </w:rPr>
  </w:style>
  <w:style w:type="character" w:styleId="Hipervnculo">
    <w:name w:val="Hyperlink"/>
    <w:basedOn w:val="Fuentedeprrafopredeter"/>
    <w:uiPriority w:val="99"/>
    <w:unhideWhenUsed/>
    <w:rsid w:val="00707D13"/>
    <w:rPr>
      <w:color w:val="467886" w:themeColor="hyperlink"/>
      <w:u w:val="single"/>
    </w:rPr>
  </w:style>
  <w:style w:type="character" w:styleId="Mencinsinresolver">
    <w:name w:val="Unresolved Mention"/>
    <w:basedOn w:val="Fuentedeprrafopredeter"/>
    <w:uiPriority w:val="99"/>
    <w:semiHidden/>
    <w:unhideWhenUsed/>
    <w:rsid w:val="00707D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5230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hu.unisinos.br/categorias/639857-uma-cristologia-do-herdeiro-em-tempos-de-crise-eclesial" TargetMode="External"/><Relationship Id="rId18" Type="http://schemas.openxmlformats.org/officeDocument/2006/relationships/hyperlink" Target="https://www.ihu.unisinos.br/637462-compreender-as-razoes-da-razao-e-superar-a-mera-ideia-de-que-a-verdade-vai-vencer-entrevista-especial-com-fernando-" TargetMode="External"/><Relationship Id="rId26" Type="http://schemas.openxmlformats.org/officeDocument/2006/relationships/hyperlink" Target="https://www.ihu.unisinos.br/categorias/185-noticias-2016/554638-memorias-distorcidas-formaram-os-evangelhos" TargetMode="External"/><Relationship Id="rId3" Type="http://schemas.openxmlformats.org/officeDocument/2006/relationships/webSettings" Target="webSettings.xml"/><Relationship Id="rId21" Type="http://schemas.openxmlformats.org/officeDocument/2006/relationships/hyperlink" Target="https://www.ihu.unisinos.br/categorias/640007-juergen-moltmann-1926-2024-um-grande-e-importante-teologo" TargetMode="External"/><Relationship Id="rId34" Type="http://schemas.openxmlformats.org/officeDocument/2006/relationships/hyperlink" Target="https://www.ihu.unisinos.br/647169-a-teologia-da-encarnacao-profunda-artigo-de-paolo-trianni?utm_campaign=newsletter_ihu__16-12-2024&amp;utm_medium=email&amp;utm_source=RD+Station" TargetMode="External"/><Relationship Id="rId7" Type="http://schemas.openxmlformats.org/officeDocument/2006/relationships/hyperlink" Target="https://ihu.unisinos.br/noticias/507716-a-ciencia-e-um-dos-melhores-modos-para-se-conhecer-a-deus" TargetMode="External"/><Relationship Id="rId12" Type="http://schemas.openxmlformats.org/officeDocument/2006/relationships/hyperlink" Target="https://www.ihu.unisinos.br/categorias/186-noticias-2017/568366-os-oito-principios-da-ecologia-profunda" TargetMode="External"/><Relationship Id="rId17" Type="http://schemas.openxmlformats.org/officeDocument/2006/relationships/hyperlink" Target="https://www.ihu.unisinos.br/categorias/42-comentario-do-evangelho/609628-trindade-uma-danca-de-vida" TargetMode="External"/><Relationship Id="rId25" Type="http://schemas.openxmlformats.org/officeDocument/2006/relationships/hyperlink" Target="https://www.ihu.unisinos.br/categorias/598431-os-dois-fracassos-do-summorum-pontificum-ad-extra-e-ad-intra-e-outro-magnum-principium-artigo-de-andrea-grillo" TargetMode="External"/><Relationship Id="rId33" Type="http://schemas.openxmlformats.org/officeDocument/2006/relationships/hyperlink" Target="https://www.ihu.unisinos.br/categorias/174-noticias-2010/595345-raimon-panikkar-teologo-da-dissidencia" TargetMode="External"/><Relationship Id="rId2" Type="http://schemas.openxmlformats.org/officeDocument/2006/relationships/settings" Target="settings.xml"/><Relationship Id="rId16" Type="http://schemas.openxmlformats.org/officeDocument/2006/relationships/hyperlink" Target="https://www.ihu.unisinos.br/categorias/642039-o-trabalho-teologico-segundo-francisco-uma-teologia-em-saida-e-das-fronteiras-artigo-de-ernesto-cavassa" TargetMode="External"/><Relationship Id="rId20" Type="http://schemas.openxmlformats.org/officeDocument/2006/relationships/hyperlink" Target="https://www.ihu.unisinos.br/noticias/508499-panteismoversuspanenteismo" TargetMode="External"/><Relationship Id="rId29" Type="http://schemas.openxmlformats.org/officeDocument/2006/relationships/hyperlink" Target="https://www.ihu.unisinos.br/categorias/188-noticias-2018/585494-morreu-xavier-tilliette-o-pensador-jesuita-que-estudou-principalmente-schelling" TargetMode="External"/><Relationship Id="rId1" Type="http://schemas.openxmlformats.org/officeDocument/2006/relationships/styles" Target="styles.xml"/><Relationship Id="rId6" Type="http://schemas.openxmlformats.org/officeDocument/2006/relationships/hyperlink" Target="https://www.ihu.unisinos.br/categorias/637479-ecce-omo-seja-abencoado-artigo-de-stefano-fenaroli" TargetMode="External"/><Relationship Id="rId11" Type="http://schemas.openxmlformats.org/officeDocument/2006/relationships/hyperlink" Target="https://www.ihu.unisinos.br/categorias/159-entrevistas/620629-compreender-a-trindade-em-todas-as-criaturas-e-o-desafio-para-achar-deus-em-nosso-tempo-conferencia-de-paolo-gamberini" TargetMode="External"/><Relationship Id="rId24" Type="http://schemas.openxmlformats.org/officeDocument/2006/relationships/hyperlink" Target="https://www.ihu.unisinos.br/categorias/613380-em-memoria-de-eberhard-juengel" TargetMode="External"/><Relationship Id="rId32" Type="http://schemas.openxmlformats.org/officeDocument/2006/relationships/hyperlink" Target="https://www.ihu.unisinos.br/noticias/532987-monges-que-protagonizam-o-dialogo-entre-religioes-e-intercambios-espirituais%20" TargetMode="External"/><Relationship Id="rId5" Type="http://schemas.openxmlformats.org/officeDocument/2006/relationships/hyperlink" Target="https://ihu.unisinos.br/categorias/628952-a-atualidade-da-dignitatis-humanae-artigo-de-paolo-trianni" TargetMode="External"/><Relationship Id="rId15" Type="http://schemas.openxmlformats.org/officeDocument/2006/relationships/hyperlink" Target="https://www.ihu.unisinos.br/categorias/170-noticias-2014/550464-gregorio-de-nazianzo-na-oracao-inter-religiosa-desta-semana" TargetMode="External"/><Relationship Id="rId23" Type="http://schemas.openxmlformats.org/officeDocument/2006/relationships/hyperlink" Target="https://www.ihu.unisinos.br/categorias/173-noticias-2011/41925-quem-e-elizabeth-johnson" TargetMode="External"/><Relationship Id="rId28" Type="http://schemas.openxmlformats.org/officeDocument/2006/relationships/hyperlink" Target="https://www.ihu.unisinos.br/categorias/627793-pierre-teilhard-de-chardin-cientista-inovador-filosofo-heterodoxo-mistico-jesuita-e-poeta-deslumbrante" TargetMode="External"/><Relationship Id="rId36" Type="http://schemas.openxmlformats.org/officeDocument/2006/relationships/theme" Target="theme/theme1.xml"/><Relationship Id="rId10" Type="http://schemas.openxmlformats.org/officeDocument/2006/relationships/hyperlink" Target="https://www.ihu.unisinos.br/600320" TargetMode="External"/><Relationship Id="rId19" Type="http://schemas.openxmlformats.org/officeDocument/2006/relationships/hyperlink" Target="https://www.ihu.unisinos.br/categorias/626659-o-tres-na-transfiguracao-de-jesus-e-na-presenca-de-deus-na-nossa-existencia" TargetMode="External"/><Relationship Id="rId31" Type="http://schemas.openxmlformats.org/officeDocument/2006/relationships/hyperlink" Target="https://www.ihu.unisinos.br/categorias/633560-laudate-deum-uma-voz-para-o-planeta-artigo-de-paolo-trianni" TargetMode="External"/><Relationship Id="rId4" Type="http://schemas.openxmlformats.org/officeDocument/2006/relationships/image" Target="media/image1.png"/><Relationship Id="rId9" Type="http://schemas.openxmlformats.org/officeDocument/2006/relationships/hyperlink" Target="https://www.ihu.unisinos.br/%E2%80%9CEncarna%C3%A7%C3%A3o%20profunda%E2%80%9D:%20%E2%80%8B%E2%80%8Brumo%20a%20uma%20teologia%20ecol%C3%B3gica.%20Artigo%20de%20Denis%20Edwards" TargetMode="External"/><Relationship Id="rId14" Type="http://schemas.openxmlformats.org/officeDocument/2006/relationships/hyperlink" Target="https://www.ihu.unisinos.br/categorias/613774-santo-irineu-doutor-da-igreja" TargetMode="External"/><Relationship Id="rId22" Type="http://schemas.openxmlformats.org/officeDocument/2006/relationships/hyperlink" Target="https://www.ihu.unisinos.br/598303" TargetMode="External"/><Relationship Id="rId27" Type="http://schemas.openxmlformats.org/officeDocument/2006/relationships/hyperlink" Target="https://www.ihu.unisinos.br/587612-a-vida-nas-pegadas-da-kenosis" TargetMode="External"/><Relationship Id="rId30" Type="http://schemas.openxmlformats.org/officeDocument/2006/relationships/hyperlink" Target="https://www.ihu.unisinos.br/categorias/640185-henri-de-lubac-provavelmente-o-maior-teologo-do-seculo-xx" TargetMode="External"/><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5574</Words>
  <Characters>30661</Characters>
  <Application>Microsoft Office Word</Application>
  <DocSecurity>0</DocSecurity>
  <Lines>255</Lines>
  <Paragraphs>72</Paragraphs>
  <ScaleCrop>false</ScaleCrop>
  <Company/>
  <LinksUpToDate>false</LinksUpToDate>
  <CharactersWithSpaces>36163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3</cp:revision>
  <dcterms:created xsi:type="dcterms:W3CDTF">2024-12-17T20:59:00Z</dcterms:created>
  <dcterms:modified xsi:type="dcterms:W3CDTF">2024-12-17T21:03:00Z</dcterms:modified>
</cp:coreProperties>
</file>