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BFF2F" w14:textId="764689DA" w:rsidR="006F2D6D" w:rsidRDefault="006F2D6D" w:rsidP="006F2D6D">
      <w:pPr>
        <w:shd w:val="clear" w:color="auto" w:fill="FFFFFF"/>
        <w:tabs>
          <w:tab w:val="num" w:pos="720"/>
        </w:tabs>
        <w:spacing w:after="0" w:line="240" w:lineRule="auto"/>
        <w:ind w:left="720" w:hanging="360"/>
      </w:pPr>
    </w:p>
    <w:p w14:paraId="2B8FCE1C" w14:textId="77777777" w:rsidR="006F2D6D" w:rsidRPr="006F2D6D" w:rsidRDefault="006F2D6D" w:rsidP="006F2D6D">
      <w:pPr>
        <w:shd w:val="clear" w:color="auto" w:fill="FFFFFF"/>
        <w:spacing w:after="0" w:line="240" w:lineRule="auto"/>
        <w:outlineLvl w:val="0"/>
        <w:rPr>
          <w:rFonts w:ascii="Nunito" w:eastAsia="Times New Roman" w:hAnsi="Nunito" w:cs="Times New Roman"/>
          <w:b/>
          <w:bCs/>
          <w:color w:val="2C2F34"/>
          <w:kern w:val="36"/>
          <w:sz w:val="40"/>
          <w:szCs w:val="40"/>
          <w:lang w:eastAsia="es-UY"/>
          <w14:ligatures w14:val="none"/>
        </w:rPr>
      </w:pPr>
      <w:r w:rsidRPr="006F2D6D">
        <w:rPr>
          <w:rFonts w:ascii="Nunito" w:eastAsia="Times New Roman" w:hAnsi="Nunito" w:cs="Times New Roman"/>
          <w:b/>
          <w:bCs/>
          <w:color w:val="2C2F34"/>
          <w:kern w:val="36"/>
          <w:sz w:val="40"/>
          <w:szCs w:val="40"/>
          <w:bdr w:val="none" w:sz="0" w:space="0" w:color="auto" w:frame="1"/>
          <w:lang w:eastAsia="es-UY"/>
          <w14:ligatures w14:val="none"/>
        </w:rPr>
        <w:t>“La estatura espiritual se mide por el amor”</w:t>
      </w:r>
    </w:p>
    <w:p w14:paraId="3ADAC864" w14:textId="77777777" w:rsidR="006F2D6D" w:rsidRDefault="006F2D6D" w:rsidP="006F2D6D">
      <w:pPr>
        <w:shd w:val="clear" w:color="auto" w:fill="FFFFFF"/>
        <w:tabs>
          <w:tab w:val="num" w:pos="720"/>
        </w:tabs>
        <w:spacing w:after="0" w:line="240" w:lineRule="auto"/>
        <w:ind w:left="720" w:hanging="360"/>
      </w:pPr>
    </w:p>
    <w:p w14:paraId="3D21BFFD" w14:textId="69F48960" w:rsidR="006F2D6D" w:rsidRDefault="006F2D6D" w:rsidP="006F2D6D">
      <w:pPr>
        <w:shd w:val="clear" w:color="auto" w:fill="FFFFFF"/>
        <w:spacing w:after="0" w:line="240" w:lineRule="auto"/>
        <w:ind w:left="720"/>
        <w:rPr>
          <w:rFonts w:ascii="Nunito" w:eastAsia="Times New Roman" w:hAnsi="Nunito" w:cs="Times New Roman"/>
          <w:b/>
          <w:bCs/>
          <w:color w:val="2C2F34"/>
          <w:kern w:val="0"/>
          <w:sz w:val="24"/>
          <w:szCs w:val="24"/>
          <w:lang w:eastAsia="es-UY"/>
          <w14:ligatures w14:val="none"/>
        </w:rPr>
      </w:pPr>
      <w:r>
        <w:rPr>
          <w:rFonts w:ascii="Nunito" w:eastAsia="Times New Roman" w:hAnsi="Nunito" w:cs="Times New Roman"/>
          <w:b/>
          <w:bCs/>
          <w:noProof/>
          <w:color w:val="2C2F34"/>
          <w:kern w:val="0"/>
          <w:sz w:val="24"/>
          <w:szCs w:val="24"/>
          <w:lang w:eastAsia="es-UY"/>
          <w14:ligatures w14:val="none"/>
        </w:rPr>
        <w:drawing>
          <wp:inline distT="0" distB="0" distL="0" distR="0" wp14:anchorId="72CC1120" wp14:editId="1CD4F5E8">
            <wp:extent cx="4896485" cy="2561338"/>
            <wp:effectExtent l="0" t="0" r="0" b="0"/>
            <wp:docPr id="19998629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17999" cy="2572592"/>
                    </a:xfrm>
                    <a:prstGeom prst="rect">
                      <a:avLst/>
                    </a:prstGeom>
                    <a:noFill/>
                  </pic:spPr>
                </pic:pic>
              </a:graphicData>
            </a:graphic>
          </wp:inline>
        </w:drawing>
      </w:r>
    </w:p>
    <w:p w14:paraId="6EC6B42A" w14:textId="77777777" w:rsidR="006F2D6D" w:rsidRDefault="006F2D6D" w:rsidP="006F2D6D">
      <w:pPr>
        <w:shd w:val="clear" w:color="auto" w:fill="FFFFFF"/>
        <w:spacing w:after="0" w:line="240" w:lineRule="auto"/>
        <w:ind w:left="720"/>
        <w:rPr>
          <w:rFonts w:ascii="Nunito" w:eastAsia="Times New Roman" w:hAnsi="Nunito" w:cs="Times New Roman"/>
          <w:b/>
          <w:bCs/>
          <w:color w:val="2C2F34"/>
          <w:kern w:val="0"/>
          <w:sz w:val="24"/>
          <w:szCs w:val="24"/>
          <w:lang w:eastAsia="es-UY"/>
          <w14:ligatures w14:val="none"/>
        </w:rPr>
      </w:pPr>
    </w:p>
    <w:p w14:paraId="361B5A79" w14:textId="52CF1E35" w:rsidR="006F2D6D" w:rsidRDefault="006F2D6D" w:rsidP="006F2D6D">
      <w:pPr>
        <w:numPr>
          <w:ilvl w:val="0"/>
          <w:numId w:val="1"/>
        </w:numPr>
        <w:shd w:val="clear" w:color="auto" w:fill="FFFFFF"/>
        <w:spacing w:after="0" w:line="240" w:lineRule="auto"/>
        <w:rPr>
          <w:rFonts w:ascii="Nunito" w:eastAsia="Times New Roman" w:hAnsi="Nunito" w:cs="Times New Roman"/>
          <w:b/>
          <w:bCs/>
          <w:color w:val="2C2F34"/>
          <w:kern w:val="0"/>
          <w:sz w:val="24"/>
          <w:szCs w:val="24"/>
          <w:lang w:eastAsia="es-UY"/>
          <w14:ligatures w14:val="none"/>
        </w:rPr>
      </w:pPr>
      <w:hyperlink r:id="rId6" w:history="1">
        <w:r w:rsidRPr="006F2D6D">
          <w:rPr>
            <w:rFonts w:ascii="Nunito" w:eastAsia="Times New Roman" w:hAnsi="Nunito" w:cs="Times New Roman"/>
            <w:b/>
            <w:bCs/>
            <w:color w:val="FF6600"/>
            <w:kern w:val="0"/>
            <w:sz w:val="24"/>
            <w:szCs w:val="24"/>
            <w:u w:val="single"/>
            <w:bdr w:val="none" w:sz="0" w:space="0" w:color="auto" w:frame="1"/>
            <w:lang w:eastAsia="es-UY"/>
            <w14:ligatures w14:val="none"/>
          </w:rPr>
          <w:t>Por el Padre Francisco Aquino Júnior</w:t>
        </w:r>
      </w:hyperlink>
    </w:p>
    <w:p w14:paraId="1999BB19" w14:textId="77777777" w:rsidR="006F2D6D" w:rsidRPr="006F2D6D" w:rsidRDefault="006F2D6D" w:rsidP="006F2D6D">
      <w:pPr>
        <w:shd w:val="clear" w:color="auto" w:fill="FFFFFF"/>
        <w:spacing w:after="0" w:line="240" w:lineRule="auto"/>
        <w:ind w:left="720"/>
        <w:jc w:val="both"/>
        <w:rPr>
          <w:rFonts w:ascii="Nunito" w:eastAsia="Times New Roman" w:hAnsi="Nunito" w:cs="Times New Roman"/>
          <w:b/>
          <w:bCs/>
          <w:color w:val="2C2F34"/>
          <w:kern w:val="0"/>
          <w:sz w:val="24"/>
          <w:szCs w:val="24"/>
          <w:lang w:eastAsia="es-UY"/>
          <w14:ligatures w14:val="none"/>
        </w:rPr>
      </w:pPr>
    </w:p>
    <w:p w14:paraId="526A9FEF" w14:textId="77777777" w:rsidR="006F2D6D" w:rsidRDefault="006F2D6D" w:rsidP="006F2D6D">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6F2D6D">
        <w:rPr>
          <w:rFonts w:ascii="Nunito" w:eastAsia="Times New Roman" w:hAnsi="Nunito" w:cs="Times New Roman"/>
          <w:color w:val="2C2F34"/>
          <w:kern w:val="0"/>
          <w:sz w:val="24"/>
          <w:szCs w:val="24"/>
          <w:bdr w:val="none" w:sz="0" w:space="0" w:color="auto" w:frame="1"/>
          <w:lang w:eastAsia="es-UY"/>
          <w14:ligatures w14:val="none"/>
        </w:rPr>
        <w:t>Si bien lo “espiritual” siempre aparece como algo inseparable de nuestra vida concreta en sus alegrías y tristezas, logros y necesidades (acción de gracias – súplica), se tiende a identificarlo con sus expresiones rituales y doctrinales (preceptos y ritos y confesión de doctrina). ). Por mucho que la invocación a Dios esté siempre ligada a los acontecimientos de la vida, cuando se piensa en religión, Iglesia, espiritualidad, misticismo, Dios, fe, inmediatamente se piensa en doctrina y ritos religiosos: una persona o comunidad es considerada más o menos “espiritual” a través de la constancia y el tiempo dedicado a la oración y participación personal y comunitaria en la Eucaristía. Incluso el lenguaje lo denuncia: cuando hablamos de una mañana o de un día de “espiritualidad” (¿y el resto del día y los demás días son de qué?), estamos hablando de una mañana o de un día de oración; Cuando hablamos de un momento de “mística” en los movimientos populares, hablamos de una expresión artístico-ritual de la lucha: canto, poesía, teatro, gesto, etc. Es como si lo religioso/espiritual/místico se identificara con su expresión ritual-doctrinal.</w:t>
      </w:r>
    </w:p>
    <w:p w14:paraId="41342FD6" w14:textId="77777777" w:rsidR="006F2D6D" w:rsidRPr="006F2D6D" w:rsidRDefault="006F2D6D" w:rsidP="006F2D6D">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5F8674B4" w14:textId="77777777" w:rsidR="006F2D6D" w:rsidRDefault="006F2D6D" w:rsidP="006F2D6D">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6F2D6D">
        <w:rPr>
          <w:rFonts w:ascii="Nunito" w:eastAsia="Times New Roman" w:hAnsi="Nunito" w:cs="Times New Roman"/>
          <w:color w:val="2C2F34"/>
          <w:kern w:val="0"/>
          <w:sz w:val="24"/>
          <w:szCs w:val="24"/>
          <w:bdr w:val="none" w:sz="0" w:space="0" w:color="auto" w:frame="1"/>
          <w:lang w:eastAsia="es-UY"/>
          <w14:ligatures w14:val="none"/>
        </w:rPr>
        <w:t xml:space="preserve">No se trata de negar los aspectos rituales y doctrinales de lo espiritual, sino de tomarlos en su vínculo esencial con el aspecto experiencial o práctico. Las doctrinas y los ritos –cuando no degeneran en </w:t>
      </w:r>
      <w:proofErr w:type="spellStart"/>
      <w:r w:rsidRPr="006F2D6D">
        <w:rPr>
          <w:rFonts w:ascii="Nunito" w:eastAsia="Times New Roman" w:hAnsi="Nunito" w:cs="Times New Roman"/>
          <w:color w:val="2C2F34"/>
          <w:kern w:val="0"/>
          <w:sz w:val="24"/>
          <w:szCs w:val="24"/>
          <w:bdr w:val="none" w:sz="0" w:space="0" w:color="auto" w:frame="1"/>
          <w:lang w:eastAsia="es-UY"/>
          <w14:ligatures w14:val="none"/>
        </w:rPr>
        <w:t>doctrinalismo</w:t>
      </w:r>
      <w:proofErr w:type="spellEnd"/>
      <w:r w:rsidRPr="006F2D6D">
        <w:rPr>
          <w:rFonts w:ascii="Nunito" w:eastAsia="Times New Roman" w:hAnsi="Nunito" w:cs="Times New Roman"/>
          <w:color w:val="2C2F34"/>
          <w:kern w:val="0"/>
          <w:sz w:val="24"/>
          <w:szCs w:val="24"/>
          <w:bdr w:val="none" w:sz="0" w:space="0" w:color="auto" w:frame="1"/>
          <w:lang w:eastAsia="es-UY"/>
          <w14:ligatures w14:val="none"/>
        </w:rPr>
        <w:t xml:space="preserve"> y </w:t>
      </w:r>
      <w:proofErr w:type="gramStart"/>
      <w:r w:rsidRPr="006F2D6D">
        <w:rPr>
          <w:rFonts w:ascii="Nunito" w:eastAsia="Times New Roman" w:hAnsi="Nunito" w:cs="Times New Roman"/>
          <w:color w:val="2C2F34"/>
          <w:kern w:val="0"/>
          <w:sz w:val="24"/>
          <w:szCs w:val="24"/>
          <w:bdr w:val="none" w:sz="0" w:space="0" w:color="auto" w:frame="1"/>
          <w:lang w:eastAsia="es-UY"/>
          <w14:ligatures w14:val="none"/>
        </w:rPr>
        <w:t>ritualismo estériles</w:t>
      </w:r>
      <w:proofErr w:type="gramEnd"/>
      <w:r w:rsidRPr="006F2D6D">
        <w:rPr>
          <w:rFonts w:ascii="Nunito" w:eastAsia="Times New Roman" w:hAnsi="Nunito" w:cs="Times New Roman"/>
          <w:color w:val="2C2F34"/>
          <w:kern w:val="0"/>
          <w:sz w:val="24"/>
          <w:szCs w:val="24"/>
          <w:bdr w:val="none" w:sz="0" w:space="0" w:color="auto" w:frame="1"/>
          <w:lang w:eastAsia="es-UY"/>
          <w14:ligatures w14:val="none"/>
        </w:rPr>
        <w:t xml:space="preserve"> (¡tentación permanente y peligro de las religiones!)– son </w:t>
      </w:r>
      <w:r w:rsidRPr="006F2D6D">
        <w:rPr>
          <w:rFonts w:ascii="Nunito" w:eastAsia="Times New Roman" w:hAnsi="Nunito" w:cs="Times New Roman"/>
          <w:i/>
          <w:iCs/>
          <w:color w:val="2C2F34"/>
          <w:kern w:val="0"/>
          <w:sz w:val="24"/>
          <w:szCs w:val="24"/>
          <w:bdr w:val="none" w:sz="0" w:space="0" w:color="auto" w:frame="1"/>
          <w:lang w:eastAsia="es-UY"/>
          <w14:ligatures w14:val="none"/>
        </w:rPr>
        <w:t>expresión</w:t>
      </w:r>
      <w:r w:rsidRPr="006F2D6D">
        <w:rPr>
          <w:rFonts w:ascii="Nunito" w:eastAsia="Times New Roman" w:hAnsi="Nunito" w:cs="Times New Roman"/>
          <w:color w:val="2C2F34"/>
          <w:kern w:val="0"/>
          <w:sz w:val="24"/>
          <w:szCs w:val="24"/>
          <w:bdr w:val="none" w:sz="0" w:space="0" w:color="auto" w:frame="1"/>
          <w:lang w:eastAsia="es-UY"/>
          <w14:ligatures w14:val="none"/>
        </w:rPr>
        <w:t> y </w:t>
      </w:r>
      <w:r w:rsidRPr="006F2D6D">
        <w:rPr>
          <w:rFonts w:ascii="Nunito" w:eastAsia="Times New Roman" w:hAnsi="Nunito" w:cs="Times New Roman"/>
          <w:i/>
          <w:iCs/>
          <w:color w:val="2C2F34"/>
          <w:kern w:val="0"/>
          <w:sz w:val="24"/>
          <w:szCs w:val="24"/>
          <w:bdr w:val="none" w:sz="0" w:space="0" w:color="auto" w:frame="1"/>
          <w:lang w:eastAsia="es-UY"/>
          <w14:ligatures w14:val="none"/>
        </w:rPr>
        <w:t>mediación</w:t>
      </w:r>
      <w:r w:rsidRPr="006F2D6D">
        <w:rPr>
          <w:rFonts w:ascii="Nunito" w:eastAsia="Times New Roman" w:hAnsi="Nunito" w:cs="Times New Roman"/>
          <w:color w:val="2C2F34"/>
          <w:kern w:val="0"/>
          <w:sz w:val="24"/>
          <w:szCs w:val="24"/>
          <w:bdr w:val="none" w:sz="0" w:space="0" w:color="auto" w:frame="1"/>
          <w:lang w:eastAsia="es-UY"/>
          <w14:ligatures w14:val="none"/>
        </w:rPr>
        <w:t xml:space="preserve"> de experiencias o prácticas espirituales auténticas y fructíferas. Pero lo espiritual/místico no puede identificarse con doctrinas y ritos. No hay ningún “momento” de espiritualidad o misticismo. Esto no significa que los momentos de oración/celebración y formación no sean importantes y </w:t>
      </w:r>
      <w:r w:rsidRPr="006F2D6D">
        <w:rPr>
          <w:rFonts w:ascii="Nunito" w:eastAsia="Times New Roman" w:hAnsi="Nunito" w:cs="Times New Roman"/>
          <w:color w:val="2C2F34"/>
          <w:kern w:val="0"/>
          <w:sz w:val="24"/>
          <w:szCs w:val="24"/>
          <w:bdr w:val="none" w:sz="0" w:space="0" w:color="auto" w:frame="1"/>
          <w:lang w:eastAsia="es-UY"/>
          <w14:ligatures w14:val="none"/>
        </w:rPr>
        <w:lastRenderedPageBreak/>
        <w:t>necesarios. Pero lo espiritual/místico no se identifica con esto ni se reduce a esto. Es la dimensión profunda de la vida que involucra todas las dimensiones, todas las circunstancias y todos los momentos de la vida. Es toda la vida vivida/configurada en Dios.</w:t>
      </w:r>
    </w:p>
    <w:p w14:paraId="38CDE08F" w14:textId="77777777" w:rsidR="006F2D6D" w:rsidRPr="006F2D6D" w:rsidRDefault="006F2D6D" w:rsidP="006F2D6D">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44381846" w14:textId="77777777" w:rsidR="006F2D6D" w:rsidRDefault="006F2D6D" w:rsidP="006F2D6D">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6F2D6D">
        <w:rPr>
          <w:rFonts w:ascii="Nunito" w:eastAsia="Times New Roman" w:hAnsi="Nunito" w:cs="Times New Roman"/>
          <w:color w:val="2C2F34"/>
          <w:kern w:val="0"/>
          <w:sz w:val="24"/>
          <w:szCs w:val="24"/>
          <w:bdr w:val="none" w:sz="0" w:space="0" w:color="auto" w:frame="1"/>
          <w:lang w:eastAsia="es-UY"/>
          <w14:ligatures w14:val="none"/>
        </w:rPr>
        <w:t xml:space="preserve">En el cristianismo, las expresiones “espiritual” y “espiritualidad” se refieren a la acción y experiencia del Espíritu Santo, que es el Espíritu de Jesús de Nazaret. No se puede hablar del Espíritu y de la experiencia espiritual independientemente o en oposición a Jesús de Nazaret. El Espíritu hace en y a través de nosotros lo que hizo en y a través de Jesús (Lucas 4:18-19; Hechos 10:38). Tu misión es enseñar y recordar lo que Jesús dijo (Juan 14:26), decir/explicar lo que escuchaste/recibiste de Jesús (Juan 16:13-14), dar testimonio de Jesús (Juan 15:26). La vida de Jesús es el criterio y la medida del discernimiento espiritual (1 </w:t>
      </w:r>
      <w:proofErr w:type="spellStart"/>
      <w:r w:rsidRPr="006F2D6D">
        <w:rPr>
          <w:rFonts w:ascii="Nunito" w:eastAsia="Times New Roman" w:hAnsi="Nunito" w:cs="Times New Roman"/>
          <w:color w:val="2C2F34"/>
          <w:kern w:val="0"/>
          <w:sz w:val="24"/>
          <w:szCs w:val="24"/>
          <w:bdr w:val="none" w:sz="0" w:space="0" w:color="auto" w:frame="1"/>
          <w:lang w:eastAsia="es-UY"/>
          <w14:ligatures w14:val="none"/>
        </w:rPr>
        <w:t>Cor</w:t>
      </w:r>
      <w:proofErr w:type="spellEnd"/>
      <w:r w:rsidRPr="006F2D6D">
        <w:rPr>
          <w:rFonts w:ascii="Nunito" w:eastAsia="Times New Roman" w:hAnsi="Nunito" w:cs="Times New Roman"/>
          <w:color w:val="2C2F34"/>
          <w:kern w:val="0"/>
          <w:sz w:val="24"/>
          <w:szCs w:val="24"/>
          <w:bdr w:val="none" w:sz="0" w:space="0" w:color="auto" w:frame="1"/>
          <w:lang w:eastAsia="es-UY"/>
          <w14:ligatures w14:val="none"/>
        </w:rPr>
        <w:t xml:space="preserve"> 12,3; 1 </w:t>
      </w:r>
      <w:proofErr w:type="spellStart"/>
      <w:r w:rsidRPr="006F2D6D">
        <w:rPr>
          <w:rFonts w:ascii="Nunito" w:eastAsia="Times New Roman" w:hAnsi="Nunito" w:cs="Times New Roman"/>
          <w:color w:val="2C2F34"/>
          <w:kern w:val="0"/>
          <w:sz w:val="24"/>
          <w:szCs w:val="24"/>
          <w:bdr w:val="none" w:sz="0" w:space="0" w:color="auto" w:frame="1"/>
          <w:lang w:eastAsia="es-UY"/>
          <w14:ligatures w14:val="none"/>
        </w:rPr>
        <w:t>Jn</w:t>
      </w:r>
      <w:proofErr w:type="spellEnd"/>
      <w:r w:rsidRPr="006F2D6D">
        <w:rPr>
          <w:rFonts w:ascii="Nunito" w:eastAsia="Times New Roman" w:hAnsi="Nunito" w:cs="Times New Roman"/>
          <w:color w:val="2C2F34"/>
          <w:kern w:val="0"/>
          <w:sz w:val="24"/>
          <w:szCs w:val="24"/>
          <w:bdr w:val="none" w:sz="0" w:space="0" w:color="auto" w:frame="1"/>
          <w:lang w:eastAsia="es-UY"/>
          <w14:ligatures w14:val="none"/>
        </w:rPr>
        <w:t xml:space="preserve"> 4,1-3). Lo que está en juego aquí es una forma concreta de vida, es decir, una manera de vivir y configurar la vida.</w:t>
      </w:r>
    </w:p>
    <w:p w14:paraId="3460EACE" w14:textId="77777777" w:rsidR="006F2D6D" w:rsidRPr="006F2D6D" w:rsidRDefault="006F2D6D" w:rsidP="006F2D6D">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37080B13" w14:textId="77777777" w:rsidR="006F2D6D" w:rsidRDefault="006F2D6D" w:rsidP="006F2D6D">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6F2D6D">
        <w:rPr>
          <w:rFonts w:ascii="Nunito" w:eastAsia="Times New Roman" w:hAnsi="Nunito" w:cs="Times New Roman"/>
          <w:color w:val="2C2F34"/>
          <w:kern w:val="0"/>
          <w:sz w:val="24"/>
          <w:szCs w:val="24"/>
          <w:bdr w:val="none" w:sz="0" w:space="0" w:color="auto" w:frame="1"/>
          <w:lang w:eastAsia="es-UY"/>
          <w14:ligatures w14:val="none"/>
        </w:rPr>
        <w:t>Como explica Ulpiano Vázquez, “lo que caracteriza la espiritualidad cristiana no es la sublimidad de lo inmaterial, porque el Espíritu no se opone al mundo, sino que lo vivifica. El Espíritu no huye del mundo, sino que desciende sobre las realidades para santificarlas. El Espíritu no se refugia en la intimidad, sino que abre el interior para expandirlo, dilatándolo”. Habla aquí de “una experiencia pascual '</w:t>
      </w:r>
      <w:proofErr w:type="spellStart"/>
      <w:r w:rsidRPr="006F2D6D">
        <w:rPr>
          <w:rFonts w:ascii="Nunito" w:eastAsia="Times New Roman" w:hAnsi="Nunito" w:cs="Times New Roman"/>
          <w:color w:val="2C2F34"/>
          <w:kern w:val="0"/>
          <w:sz w:val="24"/>
          <w:szCs w:val="24"/>
          <w:bdr w:val="none" w:sz="0" w:space="0" w:color="auto" w:frame="1"/>
          <w:lang w:eastAsia="es-UY"/>
          <w14:ligatures w14:val="none"/>
        </w:rPr>
        <w:t>exodal</w:t>
      </w:r>
      <w:proofErr w:type="spellEnd"/>
      <w:r w:rsidRPr="006F2D6D">
        <w:rPr>
          <w:rFonts w:ascii="Nunito" w:eastAsia="Times New Roman" w:hAnsi="Nunito" w:cs="Times New Roman"/>
          <w:color w:val="2C2F34"/>
          <w:kern w:val="0"/>
          <w:sz w:val="24"/>
          <w:szCs w:val="24"/>
          <w:bdr w:val="none" w:sz="0" w:space="0" w:color="auto" w:frame="1"/>
          <w:lang w:eastAsia="es-UY"/>
          <w14:ligatures w14:val="none"/>
        </w:rPr>
        <w:t>'”, recordando que San Ignacio de Loyola “resumió el progreso espiritual en tres éxodos: 'dejando el propio amor, la propia voluntad y el propio interés' y propuso como criterio de El discernimiento es el hecho de 'mirar más a las necesidades de los demás que al propio deseo'”.</w:t>
      </w:r>
    </w:p>
    <w:p w14:paraId="1729EED0" w14:textId="77777777" w:rsidR="006F2D6D" w:rsidRPr="006F2D6D" w:rsidRDefault="006F2D6D" w:rsidP="006F2D6D">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4A9DA2FB" w14:textId="77777777" w:rsidR="006F2D6D" w:rsidRDefault="006F2D6D" w:rsidP="006F2D6D">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6F2D6D">
        <w:rPr>
          <w:rFonts w:ascii="Nunito" w:eastAsia="Times New Roman" w:hAnsi="Nunito" w:cs="Times New Roman"/>
          <w:color w:val="2C2F34"/>
          <w:kern w:val="0"/>
          <w:sz w:val="24"/>
          <w:szCs w:val="24"/>
          <w:bdr w:val="none" w:sz="0" w:space="0" w:color="auto" w:frame="1"/>
          <w:lang w:eastAsia="es-UY"/>
          <w14:ligatures w14:val="none"/>
        </w:rPr>
        <w:t>Y, en la encíclica </w:t>
      </w:r>
      <w:r w:rsidRPr="006F2D6D">
        <w:rPr>
          <w:rFonts w:ascii="Nunito" w:eastAsia="Times New Roman" w:hAnsi="Nunito" w:cs="Times New Roman"/>
          <w:i/>
          <w:iCs/>
          <w:color w:val="2C2F34"/>
          <w:kern w:val="0"/>
          <w:sz w:val="24"/>
          <w:szCs w:val="24"/>
          <w:bdr w:val="none" w:sz="0" w:space="0" w:color="auto" w:frame="1"/>
          <w:lang w:eastAsia="es-UY"/>
          <w14:ligatures w14:val="none"/>
        </w:rPr>
        <w:t>Fratelli </w:t>
      </w:r>
      <w:proofErr w:type="spellStart"/>
      <w:r w:rsidRPr="006F2D6D">
        <w:rPr>
          <w:rFonts w:ascii="Nunito" w:eastAsia="Times New Roman" w:hAnsi="Nunito" w:cs="Times New Roman"/>
          <w:i/>
          <w:iCs/>
          <w:color w:val="2C2F34"/>
          <w:kern w:val="0"/>
          <w:sz w:val="24"/>
          <w:szCs w:val="24"/>
          <w:bdr w:val="none" w:sz="0" w:space="0" w:color="auto" w:frame="1"/>
          <w:lang w:eastAsia="es-UY"/>
          <w14:ligatures w14:val="none"/>
        </w:rPr>
        <w:t>Tutti</w:t>
      </w:r>
      <w:proofErr w:type="spellEnd"/>
      <w:r w:rsidRPr="006F2D6D">
        <w:rPr>
          <w:rFonts w:ascii="Nunito" w:eastAsia="Times New Roman" w:hAnsi="Nunito" w:cs="Times New Roman"/>
          <w:color w:val="2C2F34"/>
          <w:kern w:val="0"/>
          <w:sz w:val="24"/>
          <w:szCs w:val="24"/>
          <w:bdr w:val="none" w:sz="0" w:space="0" w:color="auto" w:frame="1"/>
          <w:lang w:eastAsia="es-UY"/>
          <w14:ligatures w14:val="none"/>
        </w:rPr>
        <w:t> , Francisco insiste en que “el ser humano […] no se realiza, no se desarrolla ni puede encontrar su plenitud 'sino a través de un don sincero de sí mismo' a los demás” (FT 87). Como ser de relación, sólo existe en relación y sólo se realiza en el encuentro con los demás: “Hechos por amor, hay en nosotros 'una especie de ley del' éxtasis': dejarnos encontrar en los demás un aumento de ser. '” (FT 88). Cuando este dinamismo antropológico del “éxtasis” es asumido y vivido de forma sana y coherente, no nos cierra en determinados círculos de relaciones, ni nos cierra a otros grupos y personas, sino que, por el contrario, nos abre. y nos permite “ir más allá de nosotros mismos hasta acoger a todos” (FT 89).</w:t>
      </w:r>
    </w:p>
    <w:p w14:paraId="1DBE5158" w14:textId="77777777" w:rsidR="006F2D6D" w:rsidRPr="006F2D6D" w:rsidRDefault="006F2D6D" w:rsidP="006F2D6D">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1C82512D" w14:textId="77777777" w:rsidR="006F2D6D" w:rsidRPr="006F2D6D" w:rsidRDefault="006F2D6D" w:rsidP="006F2D6D">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r w:rsidRPr="006F2D6D">
        <w:rPr>
          <w:rFonts w:ascii="Nunito" w:eastAsia="Times New Roman" w:hAnsi="Nunito" w:cs="Times New Roman"/>
          <w:color w:val="2C2F34"/>
          <w:kern w:val="0"/>
          <w:sz w:val="24"/>
          <w:szCs w:val="24"/>
          <w:bdr w:val="none" w:sz="0" w:space="0" w:color="auto" w:frame="1"/>
          <w:lang w:eastAsia="es-UY"/>
          <w14:ligatures w14:val="none"/>
        </w:rPr>
        <w:t xml:space="preserve">En definitiva, este “dinamismo de apertura y de unidad hacia los demás” no es otra cosa que “la caridad infundida por Dios” en nosotros (FT 91). Es Dios mismo actuando/amando en nosotros: Dios que es Amor amándonos y amando en nosotros o a través de nosotros (1 Juan 4:7-21). De ahí su carácter espiritual en el sentido más estricto, radical y pleno de la palabra. Hasta el punto, dice </w:t>
      </w:r>
      <w:r w:rsidRPr="006F2D6D">
        <w:rPr>
          <w:rFonts w:ascii="Nunito" w:eastAsia="Times New Roman" w:hAnsi="Nunito" w:cs="Times New Roman"/>
          <w:color w:val="2C2F34"/>
          <w:kern w:val="0"/>
          <w:sz w:val="24"/>
          <w:szCs w:val="24"/>
          <w:bdr w:val="none" w:sz="0" w:space="0" w:color="auto" w:frame="1"/>
          <w:lang w:eastAsia="es-UY"/>
          <w14:ligatures w14:val="none"/>
        </w:rPr>
        <w:lastRenderedPageBreak/>
        <w:t>Francisco, de que “la estatura espiritual de una vida humana se mide por el amor” – “¡el mayor peligro es no amar” (92)!</w:t>
      </w:r>
    </w:p>
    <w:p w14:paraId="5A365BE1" w14:textId="77777777" w:rsidR="00926044" w:rsidRPr="006F2D6D" w:rsidRDefault="00926044" w:rsidP="006F2D6D">
      <w:pPr>
        <w:jc w:val="both"/>
        <w:rPr>
          <w:sz w:val="24"/>
          <w:szCs w:val="24"/>
        </w:rPr>
      </w:pPr>
    </w:p>
    <w:p w14:paraId="48BE4E2D" w14:textId="4CC19E18" w:rsidR="006F2D6D" w:rsidRPr="006F2D6D" w:rsidRDefault="006F2D6D" w:rsidP="006F2D6D">
      <w:pPr>
        <w:jc w:val="both"/>
        <w:rPr>
          <w:sz w:val="24"/>
          <w:szCs w:val="24"/>
        </w:rPr>
      </w:pPr>
      <w:hyperlink r:id="rId7" w:history="1">
        <w:r w:rsidRPr="006F2D6D">
          <w:rPr>
            <w:rStyle w:val="Hipervnculo"/>
            <w:sz w:val="24"/>
            <w:szCs w:val="24"/>
          </w:rPr>
          <w:t>https://portaldascebs.org.br/a-estatura-espiritual-e-medida-pelo-amor/</w:t>
        </w:r>
      </w:hyperlink>
    </w:p>
    <w:p w14:paraId="3347768E" w14:textId="77777777" w:rsidR="006F2D6D" w:rsidRPr="006F2D6D" w:rsidRDefault="006F2D6D" w:rsidP="006F2D6D">
      <w:pPr>
        <w:jc w:val="both"/>
        <w:rPr>
          <w:sz w:val="24"/>
          <w:szCs w:val="24"/>
        </w:rPr>
      </w:pPr>
    </w:p>
    <w:sectPr w:rsidR="006F2D6D" w:rsidRPr="006F2D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921330"/>
    <w:multiLevelType w:val="multilevel"/>
    <w:tmpl w:val="9246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23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6D"/>
    <w:rsid w:val="003D01B6"/>
    <w:rsid w:val="006F2D6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AD5B"/>
  <w15:chartTrackingRefBased/>
  <w15:docId w15:val="{BF3D7336-F698-4EFF-A85A-068110F7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2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2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2D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2D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2D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2D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2D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2D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2D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2D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2D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2D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2D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2D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2D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2D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2D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2D6D"/>
    <w:rPr>
      <w:rFonts w:eastAsiaTheme="majorEastAsia" w:cstheme="majorBidi"/>
      <w:color w:val="272727" w:themeColor="text1" w:themeTint="D8"/>
    </w:rPr>
  </w:style>
  <w:style w:type="paragraph" w:styleId="Ttulo">
    <w:name w:val="Title"/>
    <w:basedOn w:val="Normal"/>
    <w:next w:val="Normal"/>
    <w:link w:val="TtuloCar"/>
    <w:uiPriority w:val="10"/>
    <w:qFormat/>
    <w:rsid w:val="006F2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2D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2D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2D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2D6D"/>
    <w:pPr>
      <w:spacing w:before="160"/>
      <w:jc w:val="center"/>
    </w:pPr>
    <w:rPr>
      <w:i/>
      <w:iCs/>
      <w:color w:val="404040" w:themeColor="text1" w:themeTint="BF"/>
    </w:rPr>
  </w:style>
  <w:style w:type="character" w:customStyle="1" w:styleId="CitaCar">
    <w:name w:val="Cita Car"/>
    <w:basedOn w:val="Fuentedeprrafopredeter"/>
    <w:link w:val="Cita"/>
    <w:uiPriority w:val="29"/>
    <w:rsid w:val="006F2D6D"/>
    <w:rPr>
      <w:i/>
      <w:iCs/>
      <w:color w:val="404040" w:themeColor="text1" w:themeTint="BF"/>
    </w:rPr>
  </w:style>
  <w:style w:type="paragraph" w:styleId="Prrafodelista">
    <w:name w:val="List Paragraph"/>
    <w:basedOn w:val="Normal"/>
    <w:uiPriority w:val="34"/>
    <w:qFormat/>
    <w:rsid w:val="006F2D6D"/>
    <w:pPr>
      <w:ind w:left="720"/>
      <w:contextualSpacing/>
    </w:pPr>
  </w:style>
  <w:style w:type="character" w:styleId="nfasisintenso">
    <w:name w:val="Intense Emphasis"/>
    <w:basedOn w:val="Fuentedeprrafopredeter"/>
    <w:uiPriority w:val="21"/>
    <w:qFormat/>
    <w:rsid w:val="006F2D6D"/>
    <w:rPr>
      <w:i/>
      <w:iCs/>
      <w:color w:val="0F4761" w:themeColor="accent1" w:themeShade="BF"/>
    </w:rPr>
  </w:style>
  <w:style w:type="paragraph" w:styleId="Citadestacada">
    <w:name w:val="Intense Quote"/>
    <w:basedOn w:val="Normal"/>
    <w:next w:val="Normal"/>
    <w:link w:val="CitadestacadaCar"/>
    <w:uiPriority w:val="30"/>
    <w:qFormat/>
    <w:rsid w:val="006F2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2D6D"/>
    <w:rPr>
      <w:i/>
      <w:iCs/>
      <w:color w:val="0F4761" w:themeColor="accent1" w:themeShade="BF"/>
    </w:rPr>
  </w:style>
  <w:style w:type="character" w:styleId="Referenciaintensa">
    <w:name w:val="Intense Reference"/>
    <w:basedOn w:val="Fuentedeprrafopredeter"/>
    <w:uiPriority w:val="32"/>
    <w:qFormat/>
    <w:rsid w:val="006F2D6D"/>
    <w:rPr>
      <w:b/>
      <w:bCs/>
      <w:smallCaps/>
      <w:color w:val="0F4761" w:themeColor="accent1" w:themeShade="BF"/>
      <w:spacing w:val="5"/>
    </w:rPr>
  </w:style>
  <w:style w:type="character" w:styleId="Hipervnculo">
    <w:name w:val="Hyperlink"/>
    <w:basedOn w:val="Fuentedeprrafopredeter"/>
    <w:uiPriority w:val="99"/>
    <w:unhideWhenUsed/>
    <w:rsid w:val="006F2D6D"/>
    <w:rPr>
      <w:color w:val="467886" w:themeColor="hyperlink"/>
      <w:u w:val="single"/>
    </w:rPr>
  </w:style>
  <w:style w:type="character" w:styleId="Mencinsinresolver">
    <w:name w:val="Unresolved Mention"/>
    <w:basedOn w:val="Fuentedeprrafopredeter"/>
    <w:uiPriority w:val="99"/>
    <w:semiHidden/>
    <w:unhideWhenUsed/>
    <w:rsid w:val="006F2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162710">
      <w:bodyDiv w:val="1"/>
      <w:marLeft w:val="0"/>
      <w:marRight w:val="0"/>
      <w:marTop w:val="0"/>
      <w:marBottom w:val="0"/>
      <w:divBdr>
        <w:top w:val="none" w:sz="0" w:space="0" w:color="auto"/>
        <w:left w:val="none" w:sz="0" w:space="0" w:color="auto"/>
        <w:bottom w:val="none" w:sz="0" w:space="0" w:color="auto"/>
        <w:right w:val="none" w:sz="0" w:space="0" w:color="auto"/>
      </w:divBdr>
    </w:div>
    <w:div w:id="100809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dascebs.org.br/a-estatura-espiritual-e-medida-pelo-am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dascebs.org.br/autor-colunista/francisco-aquino-j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4291</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2024-12-17T21:08:00Z</dcterms:created>
  <dcterms:modified xsi:type="dcterms:W3CDTF">2024-12-17T21:12:00Z</dcterms:modified>
</cp:coreProperties>
</file>