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55F6" w14:textId="77777777" w:rsidR="000E6203" w:rsidRPr="000E6203" w:rsidRDefault="000E6203" w:rsidP="000E6203">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b/>
          <w:bCs/>
          <w:color w:val="000000"/>
          <w:kern w:val="0"/>
          <w:sz w:val="36"/>
          <w:szCs w:val="36"/>
          <w:lang w:val="es-ES" w:eastAsia="es-UY"/>
          <w14:ligatures w14:val="none"/>
        </w:rPr>
        <w:t>El cumplimiento de lo antiguo es el primer paso de la novedad</w:t>
      </w:r>
    </w:p>
    <w:p w14:paraId="0DD28FE4" w14:textId="77777777" w:rsidR="000E6203" w:rsidRPr="000E6203" w:rsidRDefault="000E6203" w:rsidP="000E6203">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eastAsia="es-UY"/>
          <w14:ligatures w14:val="none"/>
        </w:rPr>
        <w:t> </w:t>
      </w:r>
      <w:r w:rsidRPr="000E6203">
        <w:rPr>
          <w:rFonts w:ascii="Arial" w:eastAsia="Times New Roman" w:hAnsi="Arial" w:cs="Arial"/>
          <w:b/>
          <w:bCs/>
          <w:color w:val="000000"/>
          <w:kern w:val="0"/>
          <w:sz w:val="27"/>
          <w:szCs w:val="27"/>
          <w:lang w:val="es-ES" w:eastAsia="es-UY"/>
          <w14:ligatures w14:val="none"/>
        </w:rPr>
        <w:t>LA PRESENTACIÓN DEL SEÑOR</w:t>
      </w:r>
    </w:p>
    <w:p w14:paraId="61E6E947" w14:textId="77777777" w:rsidR="000E6203" w:rsidRPr="000E6203" w:rsidRDefault="000E6203" w:rsidP="000E6203">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eastAsia="es-UY"/>
          <w14:ligatures w14:val="none"/>
        </w:rPr>
        <w:t>2 de febrero</w:t>
      </w:r>
    </w:p>
    <w:p w14:paraId="7290459F" w14:textId="77777777" w:rsidR="000E6203" w:rsidRPr="000E6203" w:rsidRDefault="000E6203" w:rsidP="000E6203">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eastAsia="es-UY"/>
          <w14:ligatures w14:val="none"/>
        </w:rPr>
        <w:t> </w:t>
      </w:r>
      <w:r w:rsidRPr="000E6203">
        <w:rPr>
          <w:rFonts w:ascii="Arial" w:eastAsia="Times New Roman" w:hAnsi="Arial" w:cs="Arial"/>
          <w:i/>
          <w:iCs/>
          <w:color w:val="000000"/>
          <w:kern w:val="0"/>
          <w:sz w:val="27"/>
          <w:szCs w:val="27"/>
          <w:lang w:val="es-ES" w:eastAsia="es-UY"/>
          <w14:ligatures w14:val="none"/>
        </w:rPr>
        <w:t>Eduardo de la Serna</w:t>
      </w:r>
    </w:p>
    <w:p w14:paraId="23CBD621" w14:textId="77777777" w:rsidR="000E6203" w:rsidRPr="000E6203" w:rsidRDefault="000E6203" w:rsidP="000E6203">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eastAsia="es-UY"/>
          <w14:ligatures w14:val="none"/>
        </w:rPr>
        <w:t> </w:t>
      </w:r>
    </w:p>
    <w:p w14:paraId="5DE28315" w14:textId="77777777" w:rsidR="000E6203" w:rsidRPr="000E6203" w:rsidRDefault="000E6203" w:rsidP="000E6203">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0E6203">
        <w:rPr>
          <w:rFonts w:ascii="Times New Roman" w:eastAsia="Times New Roman" w:hAnsi="Times New Roman" w:cs="Times New Roman"/>
          <w:noProof/>
          <w:color w:val="1155CC"/>
          <w:kern w:val="0"/>
          <w:sz w:val="27"/>
          <w:szCs w:val="27"/>
          <w:lang w:eastAsia="es-UY"/>
          <w14:ligatures w14:val="none"/>
        </w:rPr>
        <w:drawing>
          <wp:inline distT="0" distB="0" distL="0" distR="0" wp14:anchorId="2999F995" wp14:editId="4D161921">
            <wp:extent cx="3810000" cy="3149600"/>
            <wp:effectExtent l="0" t="0" r="0" b="0"/>
            <wp:docPr id="1" name="Imagen 1" descr="Imagen que contiene piedra&#10;&#10;Descripción generada automáticament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iedra&#10;&#10;Descripción generada automáticament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149600"/>
                    </a:xfrm>
                    <a:prstGeom prst="rect">
                      <a:avLst/>
                    </a:prstGeom>
                    <a:noFill/>
                    <a:ln>
                      <a:noFill/>
                    </a:ln>
                  </pic:spPr>
                </pic:pic>
              </a:graphicData>
            </a:graphic>
          </wp:inline>
        </w:drawing>
      </w:r>
    </w:p>
    <w:p w14:paraId="55CBA753" w14:textId="77777777" w:rsidR="000E6203" w:rsidRPr="000E6203" w:rsidRDefault="000E6203" w:rsidP="000E6203">
      <w:pPr>
        <w:spacing w:after="0" w:line="240" w:lineRule="auto"/>
        <w:rPr>
          <w:rFonts w:ascii="Times New Roman" w:eastAsia="Times New Roman" w:hAnsi="Times New Roman" w:cs="Times New Roman"/>
          <w:kern w:val="0"/>
          <w:sz w:val="24"/>
          <w:szCs w:val="24"/>
          <w:lang w:eastAsia="es-UY"/>
          <w14:ligatures w14:val="none"/>
        </w:rPr>
      </w:pPr>
      <w:r w:rsidRPr="000E6203">
        <w:rPr>
          <w:rFonts w:ascii="Times New Roman" w:eastAsia="Times New Roman" w:hAnsi="Times New Roman" w:cs="Times New Roman"/>
          <w:color w:val="000000"/>
          <w:kern w:val="0"/>
          <w:sz w:val="27"/>
          <w:szCs w:val="27"/>
          <w:lang w:eastAsia="es-UY"/>
          <w14:ligatures w14:val="none"/>
        </w:rPr>
        <w:br/>
      </w:r>
      <w:r w:rsidRPr="000E6203">
        <w:rPr>
          <w:rFonts w:ascii="Times New Roman" w:eastAsia="Times New Roman" w:hAnsi="Times New Roman" w:cs="Times New Roman"/>
          <w:color w:val="000000"/>
          <w:kern w:val="0"/>
          <w:sz w:val="27"/>
          <w:szCs w:val="27"/>
          <w:lang w:eastAsia="es-UY"/>
          <w14:ligatures w14:val="none"/>
        </w:rPr>
        <w:br/>
      </w:r>
    </w:p>
    <w:p w14:paraId="00DF0E2C"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eastAsia="es-UY"/>
          <w14:ligatures w14:val="none"/>
        </w:rPr>
        <w:t> </w:t>
      </w:r>
    </w:p>
    <w:p w14:paraId="082F5A7F"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b/>
          <w:bCs/>
          <w:color w:val="000000"/>
          <w:kern w:val="0"/>
          <w:sz w:val="27"/>
          <w:szCs w:val="27"/>
          <w:lang w:val="es-ES" w:eastAsia="es-UY"/>
          <w14:ligatures w14:val="none"/>
        </w:rPr>
        <w:t>Lectura de la profecía de Malaquías</w:t>
      </w:r>
      <w:r w:rsidRPr="000E6203">
        <w:rPr>
          <w:rFonts w:ascii="Arial" w:eastAsia="Times New Roman" w:hAnsi="Arial" w:cs="Arial"/>
          <w:color w:val="000000"/>
          <w:kern w:val="0"/>
          <w:sz w:val="27"/>
          <w:szCs w:val="27"/>
          <w:lang w:val="es-ES" w:eastAsia="es-UY"/>
          <w14:ligatures w14:val="none"/>
        </w:rPr>
        <w:t>     3, 1-4</w:t>
      </w:r>
    </w:p>
    <w:p w14:paraId="1BAF6992" w14:textId="77777777" w:rsidR="000E6203" w:rsidRPr="000E6203" w:rsidRDefault="000E6203" w:rsidP="000E6203">
      <w:pPr>
        <w:spacing w:after="0" w:line="240" w:lineRule="auto"/>
        <w:jc w:val="both"/>
        <w:rPr>
          <w:rFonts w:ascii="Arial" w:eastAsia="Times New Roman" w:hAnsi="Arial" w:cs="Arial"/>
          <w:color w:val="000000"/>
          <w:kern w:val="0"/>
          <w:sz w:val="27"/>
          <w:szCs w:val="27"/>
          <w:shd w:val="clear" w:color="auto" w:fill="FFFFFF"/>
          <w:lang w:val="es-ES" w:eastAsia="es-UY"/>
          <w14:ligatures w14:val="none"/>
        </w:rPr>
      </w:pPr>
    </w:p>
    <w:p w14:paraId="3371C431" w14:textId="77777777" w:rsidR="000E6203" w:rsidRPr="000E6203" w:rsidRDefault="000E6203" w:rsidP="000E6203">
      <w:pPr>
        <w:spacing w:after="0" w:line="240" w:lineRule="auto"/>
        <w:rPr>
          <w:rFonts w:ascii="Arial" w:eastAsia="Times New Roman" w:hAnsi="Arial" w:cs="Arial"/>
          <w:i/>
          <w:iCs/>
          <w:color w:val="000000"/>
          <w:kern w:val="0"/>
          <w:sz w:val="27"/>
          <w:szCs w:val="27"/>
          <w:shd w:val="clear" w:color="auto" w:fill="FFFFFF"/>
          <w:lang w:val="es-ES" w:eastAsia="es-UY"/>
          <w14:ligatures w14:val="none"/>
        </w:rPr>
      </w:pPr>
      <w:r w:rsidRPr="000E6203">
        <w:rPr>
          <w:rFonts w:ascii="Arial" w:eastAsia="Times New Roman" w:hAnsi="Arial" w:cs="Arial"/>
          <w:i/>
          <w:iCs/>
          <w:color w:val="000000"/>
          <w:kern w:val="0"/>
          <w:sz w:val="27"/>
          <w:szCs w:val="27"/>
          <w:shd w:val="clear" w:color="auto" w:fill="FFFFFF"/>
          <w:lang w:val="es-ES" w:eastAsia="es-UY"/>
          <w14:ligatures w14:val="none"/>
        </w:rPr>
        <w:t>Resumen: la impureza es algo habitual en tiempos de Malaquías, y lo religioso no es tenido en cuenta, por eso el profeta anuncia un “mensajero” que purificará a los sacerdotes y las ofrendas para que el pueblo pueda ser puro ante Dios.</w:t>
      </w:r>
    </w:p>
    <w:p w14:paraId="2E806C33"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FC39AF0"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val="es-ES" w:eastAsia="es-UY"/>
          <w14:ligatures w14:val="none"/>
        </w:rPr>
        <w:t>La profecía de Malaquías (“</w:t>
      </w:r>
      <w:r w:rsidRPr="000E6203">
        <w:rPr>
          <w:rFonts w:ascii="Arial" w:eastAsia="Times New Roman" w:hAnsi="Arial" w:cs="Arial"/>
          <w:i/>
          <w:iCs/>
          <w:color w:val="000000"/>
          <w:kern w:val="0"/>
          <w:sz w:val="27"/>
          <w:szCs w:val="27"/>
          <w:lang w:val="es-ES" w:eastAsia="es-UY"/>
          <w14:ligatures w14:val="none"/>
        </w:rPr>
        <w:t>mensajero de Yah</w:t>
      </w:r>
      <w:r w:rsidRPr="000E6203">
        <w:rPr>
          <w:rFonts w:ascii="Arial" w:eastAsia="Times New Roman" w:hAnsi="Arial" w:cs="Arial"/>
          <w:color w:val="000000"/>
          <w:kern w:val="0"/>
          <w:sz w:val="27"/>
          <w:szCs w:val="27"/>
          <w:lang w:val="es-ES" w:eastAsia="es-UY"/>
          <w14:ligatures w14:val="none"/>
        </w:rPr>
        <w:t>[vé]”) presenta una serie de elementos muy interesantes y debatidos, pero no los señalaremos aquí ya que el texto fue añadido a causa de la fiesta litúrgica de la Presentación del Señor. Dos elementos de este texto son tenidos en cuenta: la purificación de los hijos de Leví, y la ofrenda –en el Templo- agradable a Dios. </w:t>
      </w:r>
    </w:p>
    <w:p w14:paraId="5E1BA012"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val="es-ES" w:eastAsia="es-UY"/>
          <w14:ligatures w14:val="none"/>
        </w:rPr>
        <w:t>Todo esto viene precedido por el envío de “mi mensajero” (</w:t>
      </w:r>
      <w:r w:rsidRPr="000E6203">
        <w:rPr>
          <w:rFonts w:ascii="Arial" w:eastAsia="Times New Roman" w:hAnsi="Arial" w:cs="Arial"/>
          <w:i/>
          <w:iCs/>
          <w:color w:val="000000"/>
          <w:kern w:val="0"/>
          <w:sz w:val="27"/>
          <w:szCs w:val="27"/>
          <w:lang w:val="es-ES" w:eastAsia="es-UY"/>
          <w14:ligatures w14:val="none"/>
        </w:rPr>
        <w:t>mala’kî</w:t>
      </w:r>
      <w:r w:rsidRPr="000E6203">
        <w:rPr>
          <w:rFonts w:ascii="Arial" w:eastAsia="Times New Roman" w:hAnsi="Arial" w:cs="Arial"/>
          <w:color w:val="000000"/>
          <w:kern w:val="0"/>
          <w:sz w:val="27"/>
          <w:szCs w:val="27"/>
          <w:lang w:val="es-ES" w:eastAsia="es-UY"/>
          <w14:ligatures w14:val="none"/>
        </w:rPr>
        <w:t>) que preparará el camino. Más tarde (v.23) se nos dirá que ese enviado es Elías. En ambos casos se trata de alguien que “</w:t>
      </w:r>
      <w:r w:rsidRPr="000E6203">
        <w:rPr>
          <w:rFonts w:ascii="Arial" w:eastAsia="Times New Roman" w:hAnsi="Arial" w:cs="Arial"/>
          <w:i/>
          <w:iCs/>
          <w:color w:val="000000"/>
          <w:kern w:val="0"/>
          <w:sz w:val="27"/>
          <w:szCs w:val="27"/>
          <w:lang w:val="es-ES" w:eastAsia="es-UY"/>
          <w14:ligatures w14:val="none"/>
        </w:rPr>
        <w:t>prepara</w:t>
      </w:r>
      <w:r w:rsidRPr="000E6203">
        <w:rPr>
          <w:rFonts w:ascii="Arial" w:eastAsia="Times New Roman" w:hAnsi="Arial" w:cs="Arial"/>
          <w:color w:val="000000"/>
          <w:kern w:val="0"/>
          <w:sz w:val="27"/>
          <w:szCs w:val="27"/>
          <w:lang w:val="es-ES" w:eastAsia="es-UY"/>
          <w14:ligatures w14:val="none"/>
        </w:rPr>
        <w:t>”, que viene “</w:t>
      </w:r>
      <w:r w:rsidRPr="000E6203">
        <w:rPr>
          <w:rFonts w:ascii="Arial" w:eastAsia="Times New Roman" w:hAnsi="Arial" w:cs="Arial"/>
          <w:i/>
          <w:iCs/>
          <w:color w:val="000000"/>
          <w:kern w:val="0"/>
          <w:sz w:val="27"/>
          <w:szCs w:val="27"/>
          <w:lang w:val="es-ES" w:eastAsia="es-UY"/>
          <w14:ligatures w14:val="none"/>
        </w:rPr>
        <w:t>antes</w:t>
      </w:r>
      <w:r w:rsidRPr="000E6203">
        <w:rPr>
          <w:rFonts w:ascii="Arial" w:eastAsia="Times New Roman" w:hAnsi="Arial" w:cs="Arial"/>
          <w:color w:val="000000"/>
          <w:kern w:val="0"/>
          <w:sz w:val="27"/>
          <w:szCs w:val="27"/>
          <w:lang w:val="es-ES" w:eastAsia="es-UY"/>
          <w14:ligatures w14:val="none"/>
        </w:rPr>
        <w:t xml:space="preserve">”, y lo hará con el objetivo de que se viva “según Dios”. No es el caso señalar en detalle que ambos elementos fueron tenidos en cuenta </w:t>
      </w:r>
      <w:r w:rsidRPr="000E6203">
        <w:rPr>
          <w:rFonts w:ascii="Arial" w:eastAsia="Times New Roman" w:hAnsi="Arial" w:cs="Arial"/>
          <w:color w:val="000000"/>
          <w:kern w:val="0"/>
          <w:sz w:val="27"/>
          <w:szCs w:val="27"/>
          <w:lang w:val="es-ES" w:eastAsia="es-UY"/>
          <w14:ligatures w14:val="none"/>
        </w:rPr>
        <w:lastRenderedPageBreak/>
        <w:t>en los Evangelios para hablar de Juan el Bautista visto como un cierto Elías “</w:t>
      </w:r>
      <w:r w:rsidRPr="000E6203">
        <w:rPr>
          <w:rFonts w:ascii="Arial" w:eastAsia="Times New Roman" w:hAnsi="Arial" w:cs="Arial"/>
          <w:i/>
          <w:iCs/>
          <w:color w:val="000000"/>
          <w:kern w:val="0"/>
          <w:sz w:val="27"/>
          <w:szCs w:val="27"/>
          <w:lang w:val="es-ES" w:eastAsia="es-UY"/>
          <w14:ligatures w14:val="none"/>
        </w:rPr>
        <w:t>que ha de venir</w:t>
      </w:r>
      <w:r w:rsidRPr="000E6203">
        <w:rPr>
          <w:rFonts w:ascii="Arial" w:eastAsia="Times New Roman" w:hAnsi="Arial" w:cs="Arial"/>
          <w:color w:val="000000"/>
          <w:kern w:val="0"/>
          <w:sz w:val="27"/>
          <w:szCs w:val="27"/>
          <w:lang w:val="es-ES" w:eastAsia="es-UY"/>
          <w14:ligatures w14:val="none"/>
        </w:rPr>
        <w:t>”. Este “</w:t>
      </w:r>
      <w:r w:rsidRPr="000E6203">
        <w:rPr>
          <w:rFonts w:ascii="Arial" w:eastAsia="Times New Roman" w:hAnsi="Arial" w:cs="Arial"/>
          <w:i/>
          <w:iCs/>
          <w:color w:val="000000"/>
          <w:kern w:val="0"/>
          <w:sz w:val="27"/>
          <w:szCs w:val="27"/>
          <w:lang w:val="es-ES" w:eastAsia="es-UY"/>
          <w14:ligatures w14:val="none"/>
        </w:rPr>
        <w:t>mensajero</w:t>
      </w:r>
      <w:r w:rsidRPr="000E6203">
        <w:rPr>
          <w:rFonts w:ascii="Arial" w:eastAsia="Times New Roman" w:hAnsi="Arial" w:cs="Arial"/>
          <w:color w:val="000000"/>
          <w:kern w:val="0"/>
          <w:sz w:val="27"/>
          <w:szCs w:val="27"/>
          <w:lang w:val="es-ES" w:eastAsia="es-UY"/>
          <w14:ligatures w14:val="none"/>
        </w:rPr>
        <w:t>” tiene que ver con el templo ya que el “</w:t>
      </w:r>
      <w:r w:rsidRPr="000E6203">
        <w:rPr>
          <w:rFonts w:ascii="Arial" w:eastAsia="Times New Roman" w:hAnsi="Arial" w:cs="Arial"/>
          <w:i/>
          <w:iCs/>
          <w:color w:val="000000"/>
          <w:kern w:val="0"/>
          <w:sz w:val="27"/>
          <w:szCs w:val="27"/>
          <w:lang w:val="es-ES" w:eastAsia="es-UY"/>
          <w14:ligatures w14:val="none"/>
        </w:rPr>
        <w:t>Señor, a quien ustedes buscan</w:t>
      </w:r>
      <w:r w:rsidRPr="000E6203">
        <w:rPr>
          <w:rFonts w:ascii="Arial" w:eastAsia="Times New Roman" w:hAnsi="Arial" w:cs="Arial"/>
          <w:color w:val="000000"/>
          <w:kern w:val="0"/>
          <w:sz w:val="27"/>
          <w:szCs w:val="27"/>
          <w:lang w:val="es-ES" w:eastAsia="es-UY"/>
          <w14:ligatures w14:val="none"/>
        </w:rPr>
        <w:t>” vendrá al Templo y con él, el mensajero (</w:t>
      </w:r>
      <w:r w:rsidRPr="000E6203">
        <w:rPr>
          <w:rFonts w:ascii="Arial" w:eastAsia="Times New Roman" w:hAnsi="Arial" w:cs="Arial"/>
          <w:i/>
          <w:iCs/>
          <w:color w:val="000000"/>
          <w:kern w:val="0"/>
          <w:sz w:val="27"/>
          <w:szCs w:val="27"/>
          <w:lang w:val="es-ES" w:eastAsia="es-UY"/>
          <w14:ligatures w14:val="none"/>
        </w:rPr>
        <w:t>mal’ak</w:t>
      </w:r>
      <w:r w:rsidRPr="000E6203">
        <w:rPr>
          <w:rFonts w:ascii="Arial" w:eastAsia="Times New Roman" w:hAnsi="Arial" w:cs="Arial"/>
          <w:color w:val="000000"/>
          <w:kern w:val="0"/>
          <w:sz w:val="27"/>
          <w:szCs w:val="27"/>
          <w:lang w:val="es-ES" w:eastAsia="es-UY"/>
          <w14:ligatures w14:val="none"/>
        </w:rPr>
        <w:t>) de la alianza. A continuación destaca que lo que “</w:t>
      </w:r>
      <w:r w:rsidRPr="000E6203">
        <w:rPr>
          <w:rFonts w:ascii="Arial" w:eastAsia="Times New Roman" w:hAnsi="Arial" w:cs="Arial"/>
          <w:i/>
          <w:iCs/>
          <w:color w:val="000000"/>
          <w:kern w:val="0"/>
          <w:sz w:val="27"/>
          <w:szCs w:val="27"/>
          <w:lang w:val="es-ES" w:eastAsia="es-UY"/>
          <w14:ligatures w14:val="none"/>
        </w:rPr>
        <w:t>viene</w:t>
      </w:r>
      <w:r w:rsidRPr="000E6203">
        <w:rPr>
          <w:rFonts w:ascii="Arial" w:eastAsia="Times New Roman" w:hAnsi="Arial" w:cs="Arial"/>
          <w:color w:val="000000"/>
          <w:kern w:val="0"/>
          <w:sz w:val="27"/>
          <w:szCs w:val="27"/>
          <w:lang w:val="es-ES" w:eastAsia="es-UY"/>
          <w14:ligatures w14:val="none"/>
        </w:rPr>
        <w:t>” en “</w:t>
      </w:r>
      <w:r w:rsidRPr="000E6203">
        <w:rPr>
          <w:rFonts w:ascii="Arial" w:eastAsia="Times New Roman" w:hAnsi="Arial" w:cs="Arial"/>
          <w:i/>
          <w:iCs/>
          <w:color w:val="000000"/>
          <w:kern w:val="0"/>
          <w:sz w:val="27"/>
          <w:szCs w:val="27"/>
          <w:lang w:val="es-ES" w:eastAsia="es-UY"/>
          <w14:ligatures w14:val="none"/>
        </w:rPr>
        <w:t>el Día</w:t>
      </w:r>
      <w:r w:rsidRPr="000E6203">
        <w:rPr>
          <w:rFonts w:ascii="Arial" w:eastAsia="Times New Roman" w:hAnsi="Arial" w:cs="Arial"/>
          <w:color w:val="000000"/>
          <w:kern w:val="0"/>
          <w:sz w:val="27"/>
          <w:szCs w:val="27"/>
          <w:lang w:val="es-ES" w:eastAsia="es-UY"/>
          <w14:ligatures w14:val="none"/>
        </w:rPr>
        <w:t>”, que se presenta como día terrible, será como la lejía, como el fuego, para fundir y purgar. La imagen de la purificación es la que se relaciona directamente con este mensajero que anuncia el Día. Esta purificación empieza en “</w:t>
      </w:r>
      <w:r w:rsidRPr="000E6203">
        <w:rPr>
          <w:rFonts w:ascii="Arial" w:eastAsia="Times New Roman" w:hAnsi="Arial" w:cs="Arial"/>
          <w:i/>
          <w:iCs/>
          <w:color w:val="000000"/>
          <w:kern w:val="0"/>
          <w:sz w:val="27"/>
          <w:szCs w:val="27"/>
          <w:lang w:val="es-ES" w:eastAsia="es-UY"/>
          <w14:ligatures w14:val="none"/>
        </w:rPr>
        <w:t>los hijos de Leví</w:t>
      </w:r>
      <w:r w:rsidRPr="000E6203">
        <w:rPr>
          <w:rFonts w:ascii="Arial" w:eastAsia="Times New Roman" w:hAnsi="Arial" w:cs="Arial"/>
          <w:color w:val="000000"/>
          <w:kern w:val="0"/>
          <w:sz w:val="27"/>
          <w:szCs w:val="27"/>
          <w:lang w:val="es-ES" w:eastAsia="es-UY"/>
          <w14:ligatures w14:val="none"/>
        </w:rPr>
        <w:t>”, es decir, en el sector sacerdotal de Israel. Sólo si los mediadores son “</w:t>
      </w:r>
      <w:r w:rsidRPr="000E6203">
        <w:rPr>
          <w:rFonts w:ascii="Arial" w:eastAsia="Times New Roman" w:hAnsi="Arial" w:cs="Arial"/>
          <w:i/>
          <w:iCs/>
          <w:color w:val="000000"/>
          <w:kern w:val="0"/>
          <w:sz w:val="27"/>
          <w:szCs w:val="27"/>
          <w:lang w:val="es-ES" w:eastAsia="es-UY"/>
          <w14:ligatures w14:val="none"/>
        </w:rPr>
        <w:t>puros</w:t>
      </w:r>
      <w:r w:rsidRPr="000E6203">
        <w:rPr>
          <w:rFonts w:ascii="Arial" w:eastAsia="Times New Roman" w:hAnsi="Arial" w:cs="Arial"/>
          <w:color w:val="000000"/>
          <w:kern w:val="0"/>
          <w:sz w:val="27"/>
          <w:szCs w:val="27"/>
          <w:lang w:val="es-ES" w:eastAsia="es-UY"/>
          <w14:ligatures w14:val="none"/>
        </w:rPr>
        <w:t>” la ofrenda lo será. Será “en justicia” (</w:t>
      </w:r>
      <w:r w:rsidRPr="000E6203">
        <w:rPr>
          <w:rFonts w:ascii="Arial" w:eastAsia="Times New Roman" w:hAnsi="Arial" w:cs="Arial"/>
          <w:i/>
          <w:iCs/>
          <w:color w:val="000000"/>
          <w:kern w:val="0"/>
          <w:sz w:val="27"/>
          <w:szCs w:val="27"/>
          <w:lang w:val="es-ES" w:eastAsia="es-UY"/>
          <w14:ligatures w14:val="none"/>
        </w:rPr>
        <w:t>tzedaqá</w:t>
      </w:r>
      <w:r w:rsidRPr="000E6203">
        <w:rPr>
          <w:rFonts w:ascii="Arial" w:eastAsia="Times New Roman" w:hAnsi="Arial" w:cs="Arial"/>
          <w:color w:val="000000"/>
          <w:kern w:val="0"/>
          <w:sz w:val="27"/>
          <w:szCs w:val="27"/>
          <w:lang w:val="es-ES" w:eastAsia="es-UY"/>
          <w14:ligatures w14:val="none"/>
        </w:rPr>
        <w:t>). Será, entonces, una ofrenda pura como lo fueron las primeras, cuando Judá / Jerusalén no estaba contaminada con la idolatría.</w:t>
      </w:r>
    </w:p>
    <w:p w14:paraId="64D8C18B"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i/>
          <w:iCs/>
          <w:color w:val="000000"/>
          <w:kern w:val="0"/>
          <w:sz w:val="27"/>
          <w:szCs w:val="27"/>
          <w:lang w:val="es-ES" w:eastAsia="es-UY"/>
          <w14:ligatures w14:val="none"/>
        </w:rPr>
        <w:t>Una nota sobre la pureza: pureza dice relación a “limpieza”. Pero en el mundo antiguo se refiere a “limpio para Dios”. No dice relación necesaria con el pecado, sino con lo ritual. Lo opuesto de puro (o santo) es lo profano, es decir lo que se mueve en la “vida cotidiana” (sea malo o bueno). Algo apto para el servicio divino (para el culto, la oración, la reunión) es algo puro (aunque pueda estar en un contexto de “algo malo”). Por tanto, lo que se supone es una “purificación” como algo necesario para poder participar de lo religioso. Las purificaciones suelen ser rituales, Con determinados ritos queda puro uno que quedó impuro por diferentes razones: por tocar sangre, o cadáver, por ejemplo. El contacto con extranjeros (es decir, los que no son miembros del “pueblo santo” de Dios) también hace impuros, y es un tema importante en Malaquías. Los injustos, los usureros, los que no tienen en cuenta al “hermano” también lo son por no mostrar “temor de Dios” (v.5). Lo habitual en estos tiempos es la sensación que parecen tener los injustos de que Dios está “lejos” y no se entromete en nuestra historia (Mal 2,17; 3,7-8.13.15.18). De esto pretende hacerse cargo de parte de Dios este mensajero anunciado.</w:t>
      </w:r>
      <w:r w:rsidRPr="000E6203">
        <w:rPr>
          <w:rFonts w:ascii="Arial" w:eastAsia="Times New Roman" w:hAnsi="Arial" w:cs="Arial"/>
          <w:color w:val="000000"/>
          <w:kern w:val="0"/>
          <w:sz w:val="27"/>
          <w:szCs w:val="27"/>
          <w:lang w:eastAsia="es-UY"/>
          <w14:ligatures w14:val="none"/>
        </w:rPr>
        <w:t> </w:t>
      </w:r>
    </w:p>
    <w:p w14:paraId="6A85E256"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eastAsia="es-UY"/>
          <w14:ligatures w14:val="none"/>
        </w:rPr>
        <w:t> </w:t>
      </w:r>
    </w:p>
    <w:p w14:paraId="2D48EC36"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b/>
          <w:bCs/>
          <w:color w:val="000000"/>
          <w:kern w:val="0"/>
          <w:sz w:val="27"/>
          <w:szCs w:val="27"/>
          <w:lang w:val="es-ES" w:eastAsia="es-UY"/>
          <w14:ligatures w14:val="none"/>
        </w:rPr>
        <w:t>Lectura de la carta a los Hebreos</w:t>
      </w:r>
      <w:r w:rsidRPr="000E6203">
        <w:rPr>
          <w:rFonts w:ascii="Arial" w:eastAsia="Times New Roman" w:hAnsi="Arial" w:cs="Arial"/>
          <w:color w:val="000000"/>
          <w:kern w:val="0"/>
          <w:sz w:val="27"/>
          <w:szCs w:val="27"/>
          <w:lang w:val="es-ES" w:eastAsia="es-UY"/>
          <w14:ligatures w14:val="none"/>
        </w:rPr>
        <w:t>     2, 14-18</w:t>
      </w:r>
    </w:p>
    <w:p w14:paraId="619AADD4" w14:textId="77777777" w:rsidR="000E6203" w:rsidRPr="000E6203" w:rsidRDefault="000E6203" w:rsidP="000E6203">
      <w:pPr>
        <w:spacing w:after="0" w:line="240" w:lineRule="auto"/>
        <w:jc w:val="both"/>
        <w:rPr>
          <w:rFonts w:ascii="Arial" w:eastAsia="Times New Roman" w:hAnsi="Arial" w:cs="Arial"/>
          <w:color w:val="000000"/>
          <w:kern w:val="0"/>
          <w:sz w:val="27"/>
          <w:szCs w:val="27"/>
          <w:shd w:val="clear" w:color="auto" w:fill="FFFFFF"/>
          <w:lang w:val="es-ES" w:eastAsia="es-UY"/>
          <w14:ligatures w14:val="none"/>
        </w:rPr>
      </w:pPr>
    </w:p>
    <w:p w14:paraId="060B9288" w14:textId="77777777" w:rsidR="000E6203" w:rsidRPr="000E6203" w:rsidRDefault="000E6203" w:rsidP="000E6203">
      <w:pPr>
        <w:spacing w:after="0" w:line="240" w:lineRule="auto"/>
        <w:rPr>
          <w:rFonts w:ascii="Arial" w:eastAsia="Times New Roman" w:hAnsi="Arial" w:cs="Arial"/>
          <w:i/>
          <w:iCs/>
          <w:color w:val="000000"/>
          <w:kern w:val="0"/>
          <w:sz w:val="27"/>
          <w:szCs w:val="27"/>
          <w:shd w:val="clear" w:color="auto" w:fill="FFFFFF"/>
          <w:lang w:val="es-ES" w:eastAsia="es-UY"/>
          <w14:ligatures w14:val="none"/>
        </w:rPr>
      </w:pPr>
      <w:r w:rsidRPr="000E6203">
        <w:rPr>
          <w:rFonts w:ascii="Arial" w:eastAsia="Times New Roman" w:hAnsi="Arial" w:cs="Arial"/>
          <w:i/>
          <w:iCs/>
          <w:color w:val="000000"/>
          <w:kern w:val="0"/>
          <w:sz w:val="27"/>
          <w:szCs w:val="27"/>
          <w:shd w:val="clear" w:color="auto" w:fill="FFFFFF"/>
          <w:lang w:val="es-ES" w:eastAsia="es-UY"/>
          <w14:ligatures w14:val="none"/>
        </w:rPr>
        <w:t>Resumen: La muerte de Jesús es muerte liberadora de los pecados, pero –para el autor de la carta a los Hebreos- es más aun, es indicio de un nuevo sacerdocio que comienza con su resurrección, un sacerdocio totalmente nuevo y único, caracterizado por su credibilidad y misericordia dadas por su “semejanza” a los seres humanos en todo.</w:t>
      </w:r>
    </w:p>
    <w:p w14:paraId="05013032"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9A297E7"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val="es-ES" w:eastAsia="es-UY"/>
          <w14:ligatures w14:val="none"/>
        </w:rPr>
        <w:t xml:space="preserve">La carta a los Hebreos (en realidad una homilía puesta por escrito), como buena predicación, empieza mostrando a Jesús dentro de las categorías tradicionales dando, a medida que avanza el discurso, pasos para poder mostrar la novedad que él quiere señalar: la cristología sacerdotal. El texto litúrgico de hoy concluye esta primera parte tradicional y deja el tema planteado para avanzar. Concluye lo que viene </w:t>
      </w:r>
      <w:r w:rsidRPr="000E6203">
        <w:rPr>
          <w:rFonts w:ascii="Arial" w:eastAsia="Times New Roman" w:hAnsi="Arial" w:cs="Arial"/>
          <w:color w:val="000000"/>
          <w:kern w:val="0"/>
          <w:sz w:val="27"/>
          <w:szCs w:val="27"/>
          <w:lang w:val="es-ES" w:eastAsia="es-UY"/>
          <w14:ligatures w14:val="none"/>
        </w:rPr>
        <w:lastRenderedPageBreak/>
        <w:t>señalando con un “por lo tanto” (</w:t>
      </w:r>
      <w:r w:rsidRPr="000E6203">
        <w:rPr>
          <w:rFonts w:ascii="Arial" w:eastAsia="Times New Roman" w:hAnsi="Arial" w:cs="Arial"/>
          <w:i/>
          <w:iCs/>
          <w:color w:val="000000"/>
          <w:kern w:val="0"/>
          <w:sz w:val="27"/>
          <w:szCs w:val="27"/>
          <w:lang w:val="es-ES" w:eastAsia="es-UY"/>
          <w14:ligatures w14:val="none"/>
        </w:rPr>
        <w:t>oun</w:t>
      </w:r>
      <w:r w:rsidRPr="000E6203">
        <w:rPr>
          <w:rFonts w:ascii="Arial" w:eastAsia="Times New Roman" w:hAnsi="Arial" w:cs="Arial"/>
          <w:color w:val="000000"/>
          <w:kern w:val="0"/>
          <w:sz w:val="27"/>
          <w:szCs w:val="27"/>
          <w:lang w:val="es-ES" w:eastAsia="es-UY"/>
          <w14:ligatures w14:val="none"/>
        </w:rPr>
        <w:t>) dando un sentido liberador a la muerte de Jesús. Una serie de verbos destacan esto: “aniquilar (</w:t>
      </w:r>
      <w:r w:rsidRPr="000E6203">
        <w:rPr>
          <w:rFonts w:ascii="Arial" w:eastAsia="Times New Roman" w:hAnsi="Arial" w:cs="Arial"/>
          <w:i/>
          <w:iCs/>
          <w:color w:val="000000"/>
          <w:kern w:val="0"/>
          <w:sz w:val="27"/>
          <w:szCs w:val="27"/>
          <w:lang w:val="es-ES" w:eastAsia="es-UY"/>
          <w14:ligatures w14:val="none"/>
        </w:rPr>
        <w:t>katargeô</w:t>
      </w:r>
      <w:r w:rsidRPr="000E6203">
        <w:rPr>
          <w:rFonts w:ascii="Arial" w:eastAsia="Times New Roman" w:hAnsi="Arial" w:cs="Arial"/>
          <w:color w:val="000000"/>
          <w:kern w:val="0"/>
          <w:sz w:val="27"/>
          <w:szCs w:val="27"/>
          <w:lang w:val="es-ES" w:eastAsia="es-UY"/>
          <w14:ligatures w14:val="none"/>
        </w:rPr>
        <w:t>, texto casi exclusivamente paulino del NT) al señor de la muerte”, liberar (</w:t>
      </w:r>
      <w:r w:rsidRPr="000E6203">
        <w:rPr>
          <w:rFonts w:ascii="Arial" w:eastAsia="Times New Roman" w:hAnsi="Arial" w:cs="Arial"/>
          <w:i/>
          <w:iCs/>
          <w:color w:val="000000"/>
          <w:kern w:val="0"/>
          <w:sz w:val="27"/>
          <w:szCs w:val="27"/>
          <w:lang w:val="es-ES" w:eastAsia="es-UY"/>
          <w14:ligatures w14:val="none"/>
        </w:rPr>
        <w:t>apallassô</w:t>
      </w:r>
      <w:r w:rsidRPr="000E6203">
        <w:rPr>
          <w:rFonts w:ascii="Arial" w:eastAsia="Times New Roman" w:hAnsi="Arial" w:cs="Arial"/>
          <w:color w:val="000000"/>
          <w:kern w:val="0"/>
          <w:sz w:val="27"/>
          <w:szCs w:val="27"/>
          <w:lang w:val="es-ES" w:eastAsia="es-UY"/>
          <w14:ligatures w14:val="none"/>
        </w:rPr>
        <w:t>, tener autocontrol, no depender de fuerzas externas), expiar (</w:t>
      </w:r>
      <w:r w:rsidRPr="000E6203">
        <w:rPr>
          <w:rFonts w:ascii="Arial" w:eastAsia="Times New Roman" w:hAnsi="Arial" w:cs="Arial"/>
          <w:i/>
          <w:iCs/>
          <w:color w:val="000000"/>
          <w:kern w:val="0"/>
          <w:sz w:val="27"/>
          <w:szCs w:val="27"/>
          <w:lang w:val="es-ES" w:eastAsia="es-UY"/>
          <w14:ligatures w14:val="none"/>
        </w:rPr>
        <w:t>hiláskomai</w:t>
      </w:r>
      <w:r w:rsidRPr="000E6203">
        <w:rPr>
          <w:rFonts w:ascii="Arial" w:eastAsia="Times New Roman" w:hAnsi="Arial" w:cs="Arial"/>
          <w:color w:val="000000"/>
          <w:kern w:val="0"/>
          <w:sz w:val="27"/>
          <w:szCs w:val="27"/>
          <w:lang w:val="es-ES" w:eastAsia="es-UY"/>
          <w14:ligatures w14:val="none"/>
        </w:rPr>
        <w:t>, fuera de aquí, solo en Lc 18,13 en el NT). Pero todo esto está señalado aquí para dar el siguiente paso: en todo esto Jesús se “asemejó” en todo “a sus hermanos”.</w:t>
      </w:r>
    </w:p>
    <w:p w14:paraId="0DAA3311"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val="es-ES" w:eastAsia="es-UY"/>
          <w14:ligatures w14:val="none"/>
        </w:rPr>
        <w:t>Una característica del sacerdocio de Israel es, precisamente, la “separación”. Para poder concretar la “pureza” (ver nota en la primera lectura)  el sacerdote es un “separado” de sus hermanos. Israel es un pueblo “separado” de los demás pueblos; la tribu de Leví es “separada” de las demás tribus; el clan de Aarón es separado de los demás clanes… Lo propio del sacerdocio en Israel son las separaciones para “aproximarse” lo más posible a Dios. La novedad que destaca la carta a los Hebreos es que lo propio del sacerdocio de Cristo es “asemejarse”. Se hace semejante en todo “menos en el pecado” (4,15).</w:t>
      </w:r>
    </w:p>
    <w:p w14:paraId="5575C4DA"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val="es-ES" w:eastAsia="es-UY"/>
          <w14:ligatures w14:val="none"/>
        </w:rPr>
        <w:t>Sin duda esto es una novedad abismal con respecto al sacerdocio antiguo. El único sacerdocio del N.T., el de Jesús, tiene como propio su actitud de “asemejarse”, y su diferencia con el “sacerdocio antiguo” es abismal. Es notable que –para profundizar esta novedad- destacará dos elementos fundantes de este nuevo sacerdocio que desarrollará en lo que sigue de la carta (ya fuera del texto litúrgico de hoy); ser misericordioso y ser creíble. La corrupción de los sumos Sacerdotes era tan seria que la institución estaba totalmente degradada. Su credibilidad era nula, y Jesús es presentado como “creíble” (</w:t>
      </w:r>
      <w:r w:rsidRPr="000E6203">
        <w:rPr>
          <w:rFonts w:ascii="Arial" w:eastAsia="Times New Roman" w:hAnsi="Arial" w:cs="Arial"/>
          <w:i/>
          <w:iCs/>
          <w:color w:val="000000"/>
          <w:kern w:val="0"/>
          <w:sz w:val="27"/>
          <w:szCs w:val="27"/>
          <w:lang w:val="es-ES" w:eastAsia="es-UY"/>
          <w14:ligatures w14:val="none"/>
        </w:rPr>
        <w:t>pistós</w:t>
      </w:r>
      <w:r w:rsidRPr="000E6203">
        <w:rPr>
          <w:rFonts w:ascii="Arial" w:eastAsia="Times New Roman" w:hAnsi="Arial" w:cs="Arial"/>
          <w:color w:val="000000"/>
          <w:kern w:val="0"/>
          <w:sz w:val="27"/>
          <w:szCs w:val="27"/>
          <w:lang w:val="es-ES" w:eastAsia="es-UY"/>
          <w14:ligatures w14:val="none"/>
        </w:rPr>
        <w:t>); pero además, como “misericordioso” (</w:t>
      </w:r>
      <w:r w:rsidRPr="000E6203">
        <w:rPr>
          <w:rFonts w:ascii="Arial" w:eastAsia="Times New Roman" w:hAnsi="Arial" w:cs="Arial"/>
          <w:i/>
          <w:iCs/>
          <w:color w:val="000000"/>
          <w:kern w:val="0"/>
          <w:sz w:val="27"/>
          <w:szCs w:val="27"/>
          <w:lang w:val="es-ES" w:eastAsia="es-UY"/>
          <w14:ligatures w14:val="none"/>
        </w:rPr>
        <w:t>eleêmôn</w:t>
      </w:r>
      <w:r w:rsidRPr="000E6203">
        <w:rPr>
          <w:rFonts w:ascii="Arial" w:eastAsia="Times New Roman" w:hAnsi="Arial" w:cs="Arial"/>
          <w:color w:val="000000"/>
          <w:kern w:val="0"/>
          <w:sz w:val="27"/>
          <w:szCs w:val="27"/>
          <w:lang w:val="es-ES" w:eastAsia="es-UY"/>
          <w14:ligatures w14:val="none"/>
        </w:rPr>
        <w:t>). Si algo caracteriza a la misericordia es “aproximarse” a los “míseros”, a los caídos; todo lo contrario de la separación ritual del sacerdocio antiguo. Esta misericordia se expresa como solidaridad, de allí que la experiencia de la prueba (</w:t>
      </w:r>
      <w:r w:rsidRPr="000E6203">
        <w:rPr>
          <w:rFonts w:ascii="Arial" w:eastAsia="Times New Roman" w:hAnsi="Arial" w:cs="Arial"/>
          <w:i/>
          <w:iCs/>
          <w:color w:val="000000"/>
          <w:kern w:val="0"/>
          <w:sz w:val="27"/>
          <w:szCs w:val="27"/>
          <w:lang w:val="es-ES" w:eastAsia="es-UY"/>
          <w14:ligatures w14:val="none"/>
        </w:rPr>
        <w:t>peirazô</w:t>
      </w:r>
      <w:r w:rsidRPr="000E6203">
        <w:rPr>
          <w:rFonts w:ascii="Arial" w:eastAsia="Times New Roman" w:hAnsi="Arial" w:cs="Arial"/>
          <w:color w:val="000000"/>
          <w:kern w:val="0"/>
          <w:sz w:val="27"/>
          <w:szCs w:val="27"/>
          <w:lang w:val="es-ES" w:eastAsia="es-UY"/>
          <w14:ligatures w14:val="none"/>
        </w:rPr>
        <w:t>, esa prueba liberadora que “expió” los pecados) permite “ayudar” a los que son a su vez “probados” (</w:t>
      </w:r>
      <w:r w:rsidRPr="000E6203">
        <w:rPr>
          <w:rFonts w:ascii="Arial" w:eastAsia="Times New Roman" w:hAnsi="Arial" w:cs="Arial"/>
          <w:i/>
          <w:iCs/>
          <w:color w:val="000000"/>
          <w:kern w:val="0"/>
          <w:sz w:val="27"/>
          <w:szCs w:val="27"/>
          <w:lang w:val="es-ES" w:eastAsia="es-UY"/>
          <w14:ligatures w14:val="none"/>
        </w:rPr>
        <w:t>peirazô</w:t>
      </w:r>
      <w:r w:rsidRPr="000E6203">
        <w:rPr>
          <w:rFonts w:ascii="Arial" w:eastAsia="Times New Roman" w:hAnsi="Arial" w:cs="Arial"/>
          <w:color w:val="000000"/>
          <w:kern w:val="0"/>
          <w:sz w:val="27"/>
          <w:szCs w:val="27"/>
          <w:lang w:val="es-ES" w:eastAsia="es-UY"/>
          <w14:ligatures w14:val="none"/>
        </w:rPr>
        <w:t>). Esta cercanía, semejanza, lo lleva a experimentar la prueba. Nada más lejano de la actitud de separarse de las experiencias difíciles; la solidaridad de Cristo lo lleva a vivirlas y en esa situación de asemejarse, poder ayudar y liberar. La novedad del único sacerdocio de Cristo es tal que nada parecía preverla. De allí que el resto de la carta se dedicará a mostrar su sentido en la Biblia y su novedad absoluta y definitiva.</w:t>
      </w:r>
    </w:p>
    <w:p w14:paraId="220DC972"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eastAsia="es-UY"/>
          <w14:ligatures w14:val="none"/>
        </w:rPr>
        <w:t> </w:t>
      </w:r>
    </w:p>
    <w:p w14:paraId="05F5E39F"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eastAsia="es-UY"/>
          <w14:ligatures w14:val="none"/>
        </w:rPr>
        <w:t>+ </w:t>
      </w:r>
      <w:r w:rsidRPr="000E6203">
        <w:rPr>
          <w:rFonts w:ascii="Arial" w:eastAsia="Times New Roman" w:hAnsi="Arial" w:cs="Arial"/>
          <w:b/>
          <w:bCs/>
          <w:color w:val="000000"/>
          <w:kern w:val="0"/>
          <w:sz w:val="27"/>
          <w:szCs w:val="27"/>
          <w:lang w:eastAsia="es-UY"/>
          <w14:ligatures w14:val="none"/>
        </w:rPr>
        <w:t>Evangelio según san Lucas</w:t>
      </w:r>
      <w:r w:rsidRPr="000E6203">
        <w:rPr>
          <w:rFonts w:ascii="Arial" w:eastAsia="Times New Roman" w:hAnsi="Arial" w:cs="Arial"/>
          <w:color w:val="000000"/>
          <w:kern w:val="0"/>
          <w:sz w:val="27"/>
          <w:szCs w:val="27"/>
          <w:lang w:eastAsia="es-UY"/>
          <w14:ligatures w14:val="none"/>
        </w:rPr>
        <w:t>     2, 22-40</w:t>
      </w:r>
    </w:p>
    <w:p w14:paraId="452A0FFF" w14:textId="77777777" w:rsidR="000E6203" w:rsidRPr="000E6203" w:rsidRDefault="000E6203" w:rsidP="000E6203">
      <w:pPr>
        <w:spacing w:after="0" w:line="240" w:lineRule="auto"/>
        <w:jc w:val="both"/>
        <w:rPr>
          <w:rFonts w:ascii="Arial" w:eastAsia="Times New Roman" w:hAnsi="Arial" w:cs="Arial"/>
          <w:color w:val="000000"/>
          <w:kern w:val="0"/>
          <w:sz w:val="27"/>
          <w:szCs w:val="27"/>
          <w:shd w:val="clear" w:color="auto" w:fill="FFFFFF"/>
          <w:lang w:val="es-ES" w:eastAsia="es-UY"/>
          <w14:ligatures w14:val="none"/>
        </w:rPr>
      </w:pPr>
    </w:p>
    <w:p w14:paraId="79B47D2E" w14:textId="77777777" w:rsidR="000E6203" w:rsidRPr="000E6203" w:rsidRDefault="000E6203" w:rsidP="000E6203">
      <w:pPr>
        <w:spacing w:after="0" w:line="240" w:lineRule="auto"/>
        <w:rPr>
          <w:rFonts w:ascii="Arial" w:eastAsia="Times New Roman" w:hAnsi="Arial" w:cs="Arial"/>
          <w:i/>
          <w:iCs/>
          <w:color w:val="000000"/>
          <w:kern w:val="0"/>
          <w:sz w:val="27"/>
          <w:szCs w:val="27"/>
          <w:shd w:val="clear" w:color="auto" w:fill="FFFFFF"/>
          <w:lang w:val="es-ES" w:eastAsia="es-UY"/>
          <w14:ligatures w14:val="none"/>
        </w:rPr>
      </w:pPr>
      <w:r w:rsidRPr="000E6203">
        <w:rPr>
          <w:rFonts w:ascii="Arial" w:eastAsia="Times New Roman" w:hAnsi="Arial" w:cs="Arial"/>
          <w:i/>
          <w:iCs/>
          <w:color w:val="000000"/>
          <w:kern w:val="0"/>
          <w:sz w:val="27"/>
          <w:szCs w:val="27"/>
          <w:shd w:val="clear" w:color="auto" w:fill="FFFFFF"/>
          <w:lang w:val="es-ES" w:eastAsia="es-UY"/>
          <w14:ligatures w14:val="none"/>
        </w:rPr>
        <w:t>Resumen: Los padres de Jesús son celosos cumplidores de la Ley de Moisés. Y, cuando corresponde, presentan a Jesús en el Templo. Pero en esto, algo está comenzando. Un varón y una mujer de Dios hablan a todos del niño, y los tiempos nuevos empiezan.</w:t>
      </w:r>
    </w:p>
    <w:p w14:paraId="1C333BDC"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48C1AFF"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val="es-ES" w:eastAsia="es-UY"/>
          <w14:ligatures w14:val="none"/>
        </w:rPr>
        <w:lastRenderedPageBreak/>
        <w:t>Muchos elementos conforman el relato de la liturgia de hoy. El esquema es sencillo:</w:t>
      </w:r>
    </w:p>
    <w:p w14:paraId="3DF48BB1"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eastAsia="es-UY"/>
          <w14:ligatures w14:val="none"/>
        </w:rPr>
        <w:t>1.- Purificación de “ellos” (vv.22-24)</w:t>
      </w:r>
    </w:p>
    <w:p w14:paraId="699FE43C"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val="es-ES" w:eastAsia="es-UY"/>
          <w14:ligatures w14:val="none"/>
        </w:rPr>
        <w:t>2.- Un varón justo / una mujer justa reconocen al niño (vv.25-35 / 36-38)</w:t>
      </w:r>
    </w:p>
    <w:p w14:paraId="3603B0F5"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val="es-ES" w:eastAsia="es-UY"/>
          <w14:ligatures w14:val="none"/>
        </w:rPr>
        <w:t>3.- Sumario conclusivo (vv.39-40)</w:t>
      </w:r>
    </w:p>
    <w:p w14:paraId="46A874B4"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val="es-ES" w:eastAsia="es-UY"/>
          <w14:ligatures w14:val="none"/>
        </w:rPr>
        <w:t>El texto es muy complejo e interesante; pero para la celebración de hoy señalaremos solamente aquello que hace a la liturgia del día. El texto comienza y termina con una referencia a que los padres de Jesús actúan conforme a “la Ley” (vv.22.39). Esto es algo importante en Lucas (cf. 2,21.41; cf. Hch 1,12), y precisamente “conforme a la ley” presentan el niño al Señor.</w:t>
      </w:r>
    </w:p>
    <w:p w14:paraId="47920517"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val="es-ES" w:eastAsia="es-UY"/>
          <w14:ligatures w14:val="none"/>
        </w:rPr>
        <w:t>Destaquemos que en el mundo antiguo es propio de las personas religiosas ser agradecidos con la divinidad que nos ha dado sus dones. Precisamente por eso, por ejemplo, se le ofrecen las primeras crías de ganado, o las primicias de la cosecha. Sin embargo, en Israel no se ve con buenos ojos “ofrecer” a Dios el hijo primer nacido; los sacrificios humanos son aborrecidos (aunque hubo algunos casos detestados por la Biblia; 2 Re 21,6; cf. Lev 18,21; Dt 18,10; 2 Re 23,10; Gén 22,1-19). Casi podríamos imaginar la ofrenda</w:t>
      </w:r>
      <w:r w:rsidRPr="000E6203">
        <w:rPr>
          <w:rFonts w:ascii="Arial" w:eastAsia="Times New Roman" w:hAnsi="Arial" w:cs="Arial"/>
          <w:color w:val="000000"/>
          <w:kern w:val="0"/>
          <w:sz w:val="27"/>
          <w:szCs w:val="27"/>
          <w:lang w:eastAsia="es-UY"/>
          <w14:ligatures w14:val="none"/>
        </w:rPr>
        <w:t> de este modo: a Dios se le puede dar lo mismo que se puede comer, como si Dios lo “comiera”. Caso contrario, aquello que no es “puro” para ser alimento no se ha de “ofrecer”, y por tanto se ha de “rescatar”. Es decir, se ofrece algo sustitutivo, como un cordero o un cabrito. Es –fundamentalmente- el caso de los hijos, en este caso de han de presentar una “res menor”, y si no alcanza el dinero para hacerlo presentarán dos tórtolas o dos pichones (Lev 12,7b-8), se los rescata, se le “presentan” a Dios. </w:t>
      </w:r>
    </w:p>
    <w:p w14:paraId="47DA2C2E"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val="es-ES" w:eastAsia="es-UY"/>
          <w14:ligatures w14:val="none"/>
        </w:rPr>
        <w:t>1.- El Evangelio extrañamente informa que es el tiempo de la purificación de “ellos”. No se refiere a la madre, que debe purificarse después de la maternidad, sino de “ellos”; es posible que esté aludiendo a que con la presentación de Jesús ha comenzado el “día” y así “los hijos de Leví” sean purificados porque la ofrenda que se ha presentado en el Templo es perfecta (cf. Mal 3,3, primera lectura). </w:t>
      </w:r>
    </w:p>
    <w:p w14:paraId="17DDBEF9"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val="es-ES" w:eastAsia="es-UY"/>
          <w14:ligatures w14:val="none"/>
        </w:rPr>
        <w:t>2.- Ante esta presentación se acercan al Templo –como es frecuente en Lucas- un varón y una mujer (cf. 13,18-21; 15,4-10; etc.) que hablan públicamente del niño. La “esperanza en la consolación de Israel” y la “esperanza en la redención de Jerusalén” enmarcan la doble escena (vv.25.38). En medio de esta escena Lucas incorpora (como lo ha hecho en otras ocasiones, cf. 1,46-55; 1,68-79; 2,14) un canto que manifiesta la realización de las esperanzas de Israel con la alegría de los “pobres de Yahvé”. </w:t>
      </w:r>
    </w:p>
    <w:p w14:paraId="30F41D44"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val="es-ES" w:eastAsia="es-UY"/>
          <w14:ligatures w14:val="none"/>
        </w:rPr>
        <w:t>3.- La escena concluye con un relato sobre el crecimiento del niño, semejante a lo dicho sobre Juan, el Bautista (1,80) que parece a su vez remitir a Samuel: “</w:t>
      </w:r>
      <w:r w:rsidRPr="000E6203">
        <w:rPr>
          <w:rFonts w:ascii="Arial" w:eastAsia="Times New Roman" w:hAnsi="Arial" w:cs="Arial"/>
          <w:i/>
          <w:iCs/>
          <w:color w:val="000000"/>
          <w:kern w:val="0"/>
          <w:sz w:val="27"/>
          <w:szCs w:val="27"/>
          <w:lang w:val="es-ES" w:eastAsia="es-UY"/>
          <w14:ligatures w14:val="none"/>
        </w:rPr>
        <w:t>iba creciendo y haciéndose grato tanto a Yahvé como a los hombres</w:t>
      </w:r>
      <w:r w:rsidRPr="000E6203">
        <w:rPr>
          <w:rFonts w:ascii="Arial" w:eastAsia="Times New Roman" w:hAnsi="Arial" w:cs="Arial"/>
          <w:color w:val="000000"/>
          <w:kern w:val="0"/>
          <w:sz w:val="27"/>
          <w:szCs w:val="27"/>
          <w:lang w:val="es-ES" w:eastAsia="es-UY"/>
          <w14:ligatures w14:val="none"/>
        </w:rPr>
        <w:t>” (1 Sam 2,36).</w:t>
      </w:r>
    </w:p>
    <w:p w14:paraId="20138622"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eastAsia="es-UY"/>
          <w14:ligatures w14:val="none"/>
        </w:rPr>
        <w:t> </w:t>
      </w:r>
    </w:p>
    <w:p w14:paraId="280D8452" w14:textId="77777777" w:rsidR="000E6203" w:rsidRPr="000E6203" w:rsidRDefault="000E6203" w:rsidP="000E620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E6203">
        <w:rPr>
          <w:rFonts w:ascii="Arial" w:eastAsia="Times New Roman" w:hAnsi="Arial" w:cs="Arial"/>
          <w:color w:val="000000"/>
          <w:kern w:val="0"/>
          <w:sz w:val="27"/>
          <w:szCs w:val="27"/>
          <w:lang w:val="es-ES" w:eastAsia="es-UY"/>
          <w14:ligatures w14:val="none"/>
        </w:rPr>
        <w:lastRenderedPageBreak/>
        <w:t>Foto tomada de </w:t>
      </w:r>
      <w:hyperlink r:id="rId6" w:tgtFrame="_blank" w:history="1">
        <w:r w:rsidRPr="000E6203">
          <w:rPr>
            <w:rFonts w:ascii="Arial" w:eastAsia="Times New Roman" w:hAnsi="Arial" w:cs="Arial"/>
            <w:color w:val="1155CC"/>
            <w:kern w:val="0"/>
            <w:sz w:val="27"/>
            <w:szCs w:val="27"/>
            <w:u w:val="single"/>
            <w:lang w:val="es-ES" w:eastAsia="es-UY"/>
            <w14:ligatures w14:val="none"/>
          </w:rPr>
          <w:t>sanchoamigo.wordpress.com</w:t>
        </w:r>
      </w:hyperlink>
    </w:p>
    <w:p w14:paraId="684B882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03"/>
    <w:rsid w:val="000E6203"/>
    <w:rsid w:val="0016545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812D"/>
  <w15:chartTrackingRefBased/>
  <w15:docId w15:val="{B0C820F6-95DA-4665-87B1-BA81043A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6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6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62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62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62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62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62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62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62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62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62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62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62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62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62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62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62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6203"/>
    <w:rPr>
      <w:rFonts w:eastAsiaTheme="majorEastAsia" w:cstheme="majorBidi"/>
      <w:color w:val="272727" w:themeColor="text1" w:themeTint="D8"/>
    </w:rPr>
  </w:style>
  <w:style w:type="paragraph" w:styleId="Ttulo">
    <w:name w:val="Title"/>
    <w:basedOn w:val="Normal"/>
    <w:next w:val="Normal"/>
    <w:link w:val="TtuloCar"/>
    <w:uiPriority w:val="10"/>
    <w:qFormat/>
    <w:rsid w:val="000E6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62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62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62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6203"/>
    <w:pPr>
      <w:spacing w:before="160"/>
      <w:jc w:val="center"/>
    </w:pPr>
    <w:rPr>
      <w:i/>
      <w:iCs/>
      <w:color w:val="404040" w:themeColor="text1" w:themeTint="BF"/>
    </w:rPr>
  </w:style>
  <w:style w:type="character" w:customStyle="1" w:styleId="CitaCar">
    <w:name w:val="Cita Car"/>
    <w:basedOn w:val="Fuentedeprrafopredeter"/>
    <w:link w:val="Cita"/>
    <w:uiPriority w:val="29"/>
    <w:rsid w:val="000E6203"/>
    <w:rPr>
      <w:i/>
      <w:iCs/>
      <w:color w:val="404040" w:themeColor="text1" w:themeTint="BF"/>
    </w:rPr>
  </w:style>
  <w:style w:type="paragraph" w:styleId="Prrafodelista">
    <w:name w:val="List Paragraph"/>
    <w:basedOn w:val="Normal"/>
    <w:uiPriority w:val="34"/>
    <w:qFormat/>
    <w:rsid w:val="000E6203"/>
    <w:pPr>
      <w:ind w:left="720"/>
      <w:contextualSpacing/>
    </w:pPr>
  </w:style>
  <w:style w:type="character" w:styleId="nfasisintenso">
    <w:name w:val="Intense Emphasis"/>
    <w:basedOn w:val="Fuentedeprrafopredeter"/>
    <w:uiPriority w:val="21"/>
    <w:qFormat/>
    <w:rsid w:val="000E6203"/>
    <w:rPr>
      <w:i/>
      <w:iCs/>
      <w:color w:val="0F4761" w:themeColor="accent1" w:themeShade="BF"/>
    </w:rPr>
  </w:style>
  <w:style w:type="paragraph" w:styleId="Citadestacada">
    <w:name w:val="Intense Quote"/>
    <w:basedOn w:val="Normal"/>
    <w:next w:val="Normal"/>
    <w:link w:val="CitadestacadaCar"/>
    <w:uiPriority w:val="30"/>
    <w:qFormat/>
    <w:rsid w:val="000E6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6203"/>
    <w:rPr>
      <w:i/>
      <w:iCs/>
      <w:color w:val="0F4761" w:themeColor="accent1" w:themeShade="BF"/>
    </w:rPr>
  </w:style>
  <w:style w:type="character" w:styleId="Referenciaintensa">
    <w:name w:val="Intense Reference"/>
    <w:basedOn w:val="Fuentedeprrafopredeter"/>
    <w:uiPriority w:val="32"/>
    <w:qFormat/>
    <w:rsid w:val="000E62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726604">
      <w:bodyDiv w:val="1"/>
      <w:marLeft w:val="0"/>
      <w:marRight w:val="0"/>
      <w:marTop w:val="0"/>
      <w:marBottom w:val="0"/>
      <w:divBdr>
        <w:top w:val="none" w:sz="0" w:space="0" w:color="auto"/>
        <w:left w:val="none" w:sz="0" w:space="0" w:color="auto"/>
        <w:bottom w:val="none" w:sz="0" w:space="0" w:color="auto"/>
        <w:right w:val="none" w:sz="0" w:space="0" w:color="auto"/>
      </w:divBdr>
      <w:divsChild>
        <w:div w:id="1997607939">
          <w:blockQuote w:val="1"/>
          <w:marLeft w:val="600"/>
          <w:marRight w:val="0"/>
          <w:marTop w:val="0"/>
          <w:marBottom w:val="0"/>
          <w:divBdr>
            <w:top w:val="none" w:sz="0" w:space="0" w:color="auto"/>
            <w:left w:val="none" w:sz="0" w:space="0" w:color="auto"/>
            <w:bottom w:val="none" w:sz="0" w:space="0" w:color="auto"/>
            <w:right w:val="none" w:sz="0" w:space="0" w:color="auto"/>
          </w:divBdr>
          <w:divsChild>
            <w:div w:id="610012574">
              <w:blockQuote w:val="1"/>
              <w:marLeft w:val="600"/>
              <w:marRight w:val="0"/>
              <w:marTop w:val="0"/>
              <w:marBottom w:val="0"/>
              <w:divBdr>
                <w:top w:val="none" w:sz="0" w:space="0" w:color="auto"/>
                <w:left w:val="none" w:sz="0" w:space="0" w:color="auto"/>
                <w:bottom w:val="none" w:sz="0" w:space="0" w:color="auto"/>
                <w:right w:val="none" w:sz="0" w:space="0" w:color="auto"/>
              </w:divBdr>
            </w:div>
            <w:div w:id="1764450891">
              <w:blockQuote w:val="1"/>
              <w:marLeft w:val="600"/>
              <w:marRight w:val="0"/>
              <w:marTop w:val="0"/>
              <w:marBottom w:val="0"/>
              <w:divBdr>
                <w:top w:val="none" w:sz="0" w:space="0" w:color="auto"/>
                <w:left w:val="none" w:sz="0" w:space="0" w:color="auto"/>
                <w:bottom w:val="none" w:sz="0" w:space="0" w:color="auto"/>
                <w:right w:val="none" w:sz="0" w:space="0" w:color="auto"/>
              </w:divBdr>
            </w:div>
            <w:div w:id="22839377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2489473627224985188" TargetMode="External"/><Relationship Id="rId5" Type="http://schemas.openxmlformats.org/officeDocument/2006/relationships/image" Target="media/image1.png"/><Relationship Id="rId4" Type="http://schemas.openxmlformats.org/officeDocument/2006/relationships/hyperlink" Target="https://www.blogger.com/blog/post/edit/2845060600014161194/24894736272249851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1490</Words>
  <Characters>8201</Characters>
  <Application>Microsoft Office Word</Application>
  <DocSecurity>0</DocSecurity>
  <Lines>68</Lines>
  <Paragraphs>19</Paragraphs>
  <ScaleCrop>false</ScaleCrop>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2025-01-29T17:30:00Z</dcterms:created>
  <dcterms:modified xsi:type="dcterms:W3CDTF">2025-01-29T17:30:00Z</dcterms:modified>
</cp:coreProperties>
</file>