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81F36" w14:textId="49F34E10" w:rsid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r w:rsidRPr="00631CDF">
        <w:rPr>
          <w:rFonts w:ascii="Arial" w:eastAsia="Times New Roman" w:hAnsi="Arial" w:cs="Arial"/>
          <w:color w:val="333333"/>
          <w:kern w:val="0"/>
          <w:sz w:val="24"/>
          <w:szCs w:val="24"/>
          <w:lang w:eastAsia="es-UY"/>
          <w14:ligatures w14:val="none"/>
        </w:rPr>
        <w:drawing>
          <wp:inline distT="0" distB="0" distL="0" distR="0" wp14:anchorId="16069CEC" wp14:editId="22AF249D">
            <wp:extent cx="5400040" cy="2312035"/>
            <wp:effectExtent l="0" t="0" r="0" b="0"/>
            <wp:docPr id="1477149585" name="Imagen 1" descr="Un grupo de personas tocando instrumentos musical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49585" name="Imagen 1" descr="Un grupo de personas tocando instrumentos musicales&#10;&#10;El contenido generado por IA puede ser incorrecto."/>
                    <pic:cNvPicPr/>
                  </pic:nvPicPr>
                  <pic:blipFill>
                    <a:blip r:embed="rId4"/>
                    <a:stretch>
                      <a:fillRect/>
                    </a:stretch>
                  </pic:blipFill>
                  <pic:spPr>
                    <a:xfrm>
                      <a:off x="0" y="0"/>
                      <a:ext cx="5400040" cy="2312035"/>
                    </a:xfrm>
                    <a:prstGeom prst="rect">
                      <a:avLst/>
                    </a:prstGeom>
                  </pic:spPr>
                </pic:pic>
              </a:graphicData>
            </a:graphic>
          </wp:inline>
        </w:drawing>
      </w:r>
    </w:p>
    <w:p w14:paraId="19A969BF" w14:textId="77777777" w:rsid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p>
    <w:p w14:paraId="28AC5116" w14:textId="4542404B" w:rsid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r w:rsidRPr="00631CDF">
        <w:rPr>
          <w:rFonts w:ascii="Arial" w:eastAsia="Times New Roman" w:hAnsi="Arial" w:cs="Arial"/>
          <w:color w:val="333333"/>
          <w:kern w:val="0"/>
          <w:sz w:val="24"/>
          <w:szCs w:val="24"/>
          <w:lang w:eastAsia="es-UY"/>
          <w14:ligatures w14:val="none"/>
        </w:rPr>
        <w:t>En pocos ámbitos los obispos pueden actuar de forma tan monárquica como en el legislativo. Sin embargo, este ámbito sigue siendo un punto ciego en las deliberaciones del </w:t>
      </w:r>
      <w:hyperlink r:id="rId5" w:tgtFrame="_blank" w:history="1">
        <w:r w:rsidRPr="00631CDF">
          <w:rPr>
            <w:rFonts w:ascii="Arial" w:eastAsia="Times New Roman" w:hAnsi="Arial" w:cs="Arial"/>
            <w:color w:val="FC6B01"/>
            <w:kern w:val="0"/>
            <w:sz w:val="24"/>
            <w:szCs w:val="24"/>
            <w:u w:val="single"/>
            <w:lang w:eastAsia="es-UY"/>
            <w14:ligatures w14:val="none"/>
          </w:rPr>
          <w:t>Camino Sinodal</w:t>
        </w:r>
      </w:hyperlink>
      <w:r w:rsidRPr="00631CDF">
        <w:rPr>
          <w:rFonts w:ascii="Arial" w:eastAsia="Times New Roman" w:hAnsi="Arial" w:cs="Arial"/>
          <w:color w:val="333333"/>
          <w:kern w:val="0"/>
          <w:sz w:val="24"/>
          <w:szCs w:val="24"/>
          <w:lang w:eastAsia="es-UY"/>
          <w14:ligatures w14:val="none"/>
        </w:rPr>
        <w:t> . La </w:t>
      </w:r>
      <w:r w:rsidRPr="00631CDF">
        <w:rPr>
          <w:rFonts w:ascii="Arial" w:eastAsia="Times New Roman" w:hAnsi="Arial" w:cs="Arial"/>
          <w:b/>
          <w:bCs/>
          <w:color w:val="333333"/>
          <w:kern w:val="0"/>
          <w:sz w:val="24"/>
          <w:szCs w:val="24"/>
          <w:lang w:eastAsia="es-UY"/>
          <w14:ligatures w14:val="none"/>
        </w:rPr>
        <w:t>diócesis de Limburgo</w:t>
      </w:r>
      <w:r w:rsidRPr="00631CDF">
        <w:rPr>
          <w:rFonts w:ascii="Arial" w:eastAsia="Times New Roman" w:hAnsi="Arial" w:cs="Arial"/>
          <w:color w:val="333333"/>
          <w:kern w:val="0"/>
          <w:sz w:val="24"/>
          <w:szCs w:val="24"/>
          <w:lang w:eastAsia="es-UY"/>
          <w14:ligatures w14:val="none"/>
        </w:rPr>
        <w:t> muestra ahora cómo se pueden hacer las cosas de forma diferente, escribe </w:t>
      </w:r>
      <w:proofErr w:type="spellStart"/>
      <w:r w:rsidRPr="00631CDF">
        <w:rPr>
          <w:rFonts w:ascii="Arial" w:eastAsia="Times New Roman" w:hAnsi="Arial" w:cs="Arial"/>
          <w:color w:val="333333"/>
          <w:kern w:val="0"/>
          <w:sz w:val="24"/>
          <w:szCs w:val="24"/>
          <w:lang w:eastAsia="es-UY"/>
          <w14:ligatures w14:val="none"/>
        </w:rPr>
        <w:fldChar w:fldCharType="begin"/>
      </w:r>
      <w:r w:rsidRPr="00631CDF">
        <w:rPr>
          <w:rFonts w:ascii="Arial" w:eastAsia="Times New Roman" w:hAnsi="Arial" w:cs="Arial"/>
          <w:color w:val="333333"/>
          <w:kern w:val="0"/>
          <w:sz w:val="24"/>
          <w:szCs w:val="24"/>
          <w:lang w:eastAsia="es-UY"/>
          <w14:ligatures w14:val="none"/>
        </w:rPr>
        <w:instrText>HYPERLINK "https://www.ihu.unisinos.br/categorias/625917-vaticano-mostra-novo-cartao-amarelo-aos-bispos-alemaes" \t "_blank"</w:instrText>
      </w:r>
      <w:r w:rsidRPr="00631CDF">
        <w:rPr>
          <w:rFonts w:ascii="Arial" w:eastAsia="Times New Roman" w:hAnsi="Arial" w:cs="Arial"/>
          <w:color w:val="333333"/>
          <w:kern w:val="0"/>
          <w:sz w:val="24"/>
          <w:szCs w:val="24"/>
          <w:lang w:eastAsia="es-UY"/>
          <w14:ligatures w14:val="none"/>
        </w:rPr>
      </w:r>
      <w:r w:rsidRPr="00631CDF">
        <w:rPr>
          <w:rFonts w:ascii="Arial" w:eastAsia="Times New Roman" w:hAnsi="Arial" w:cs="Arial"/>
          <w:color w:val="333333"/>
          <w:kern w:val="0"/>
          <w:sz w:val="24"/>
          <w:szCs w:val="24"/>
          <w:lang w:eastAsia="es-UY"/>
          <w14:ligatures w14:val="none"/>
        </w:rPr>
        <w:fldChar w:fldCharType="separate"/>
      </w:r>
      <w:r w:rsidRPr="00631CDF">
        <w:rPr>
          <w:rFonts w:ascii="Arial" w:eastAsia="Times New Roman" w:hAnsi="Arial" w:cs="Arial"/>
          <w:color w:val="FC6B01"/>
          <w:kern w:val="0"/>
          <w:sz w:val="24"/>
          <w:szCs w:val="24"/>
          <w:u w:val="single"/>
          <w:lang w:eastAsia="es-UY"/>
          <w14:ligatures w14:val="none"/>
        </w:rPr>
        <w:t>Felix</w:t>
      </w:r>
      <w:proofErr w:type="spellEnd"/>
      <w:r w:rsidRPr="00631CDF">
        <w:rPr>
          <w:rFonts w:ascii="Arial" w:eastAsia="Times New Roman" w:hAnsi="Arial" w:cs="Arial"/>
          <w:color w:val="FC6B01"/>
          <w:kern w:val="0"/>
          <w:sz w:val="24"/>
          <w:szCs w:val="24"/>
          <w:u w:val="single"/>
          <w:lang w:eastAsia="es-UY"/>
          <w14:ligatures w14:val="none"/>
        </w:rPr>
        <w:t xml:space="preserve"> Neumann</w:t>
      </w:r>
      <w:r w:rsidRPr="00631CDF">
        <w:rPr>
          <w:rFonts w:ascii="Arial" w:eastAsia="Times New Roman" w:hAnsi="Arial" w:cs="Arial"/>
          <w:color w:val="333333"/>
          <w:kern w:val="0"/>
          <w:sz w:val="24"/>
          <w:szCs w:val="24"/>
          <w:lang w:eastAsia="es-UY"/>
          <w14:ligatures w14:val="none"/>
        </w:rPr>
        <w:fldChar w:fldCharType="end"/>
      </w:r>
      <w:r w:rsidRPr="00631CDF">
        <w:rPr>
          <w:rFonts w:ascii="Arial" w:eastAsia="Times New Roman" w:hAnsi="Arial" w:cs="Arial"/>
          <w:color w:val="333333"/>
          <w:kern w:val="0"/>
          <w:sz w:val="24"/>
          <w:szCs w:val="24"/>
          <w:lang w:eastAsia="es-UY"/>
          <w14:ligatures w14:val="none"/>
        </w:rPr>
        <w:t> , vicepresidente de la Sociedad de Periodistas Católicos - GKP, en un comentario publicado por </w:t>
      </w:r>
      <w:proofErr w:type="spellStart"/>
      <w:r w:rsidRPr="00631CDF">
        <w:rPr>
          <w:rFonts w:ascii="Arial" w:eastAsia="Times New Roman" w:hAnsi="Arial" w:cs="Arial"/>
          <w:color w:val="333333"/>
          <w:kern w:val="0"/>
          <w:sz w:val="24"/>
          <w:szCs w:val="24"/>
          <w:lang w:eastAsia="es-UY"/>
          <w14:ligatures w14:val="none"/>
        </w:rPr>
        <w:fldChar w:fldCharType="begin"/>
      </w:r>
      <w:r w:rsidRPr="00631CDF">
        <w:rPr>
          <w:rFonts w:ascii="Arial" w:eastAsia="Times New Roman" w:hAnsi="Arial" w:cs="Arial"/>
          <w:color w:val="333333"/>
          <w:kern w:val="0"/>
          <w:sz w:val="24"/>
          <w:szCs w:val="24"/>
          <w:lang w:eastAsia="es-UY"/>
          <w14:ligatures w14:val="none"/>
        </w:rPr>
        <w:instrText>HYPERLINK "https://www.katholisch.de/" \t "_blank"</w:instrText>
      </w:r>
      <w:r w:rsidRPr="00631CDF">
        <w:rPr>
          <w:rFonts w:ascii="Arial" w:eastAsia="Times New Roman" w:hAnsi="Arial" w:cs="Arial"/>
          <w:color w:val="333333"/>
          <w:kern w:val="0"/>
          <w:sz w:val="24"/>
          <w:szCs w:val="24"/>
          <w:lang w:eastAsia="es-UY"/>
          <w14:ligatures w14:val="none"/>
        </w:rPr>
      </w:r>
      <w:r w:rsidRPr="00631CDF">
        <w:rPr>
          <w:rFonts w:ascii="Arial" w:eastAsia="Times New Roman" w:hAnsi="Arial" w:cs="Arial"/>
          <w:color w:val="333333"/>
          <w:kern w:val="0"/>
          <w:sz w:val="24"/>
          <w:szCs w:val="24"/>
          <w:lang w:eastAsia="es-UY"/>
          <w14:ligatures w14:val="none"/>
        </w:rPr>
        <w:fldChar w:fldCharType="separate"/>
      </w:r>
      <w:r w:rsidRPr="00631CDF">
        <w:rPr>
          <w:rFonts w:ascii="Arial" w:eastAsia="Times New Roman" w:hAnsi="Arial" w:cs="Arial"/>
          <w:color w:val="FC6B01"/>
          <w:kern w:val="0"/>
          <w:sz w:val="24"/>
          <w:szCs w:val="24"/>
          <w:u w:val="single"/>
          <w:lang w:eastAsia="es-UY"/>
          <w14:ligatures w14:val="none"/>
        </w:rPr>
        <w:t>katholisch.de</w:t>
      </w:r>
      <w:proofErr w:type="spellEnd"/>
      <w:r w:rsidRPr="00631CDF">
        <w:rPr>
          <w:rFonts w:ascii="Arial" w:eastAsia="Times New Roman" w:hAnsi="Arial" w:cs="Arial"/>
          <w:color w:val="333333"/>
          <w:kern w:val="0"/>
          <w:sz w:val="24"/>
          <w:szCs w:val="24"/>
          <w:lang w:eastAsia="es-UY"/>
          <w14:ligatures w14:val="none"/>
        </w:rPr>
        <w:fldChar w:fldCharType="end"/>
      </w:r>
      <w:r w:rsidRPr="00631CDF">
        <w:rPr>
          <w:rFonts w:ascii="Arial" w:eastAsia="Times New Roman" w:hAnsi="Arial" w:cs="Arial"/>
          <w:color w:val="333333"/>
          <w:kern w:val="0"/>
          <w:sz w:val="24"/>
          <w:szCs w:val="24"/>
          <w:lang w:eastAsia="es-UY"/>
          <w14:ligatures w14:val="none"/>
        </w:rPr>
        <w:t> , 08-04-2025. </w:t>
      </w:r>
    </w:p>
    <w:p w14:paraId="72BEAEB6" w14:textId="77777777" w:rsidR="00631CDF" w:rsidRP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p>
    <w:p w14:paraId="75AF741C" w14:textId="77777777" w:rsidR="00631CDF" w:rsidRPr="00631CDF" w:rsidRDefault="00631CDF" w:rsidP="00631CDF">
      <w:pPr>
        <w:spacing w:after="0" w:line="240" w:lineRule="auto"/>
        <w:jc w:val="both"/>
        <w:outlineLvl w:val="1"/>
        <w:rPr>
          <w:rFonts w:ascii="Arial" w:eastAsia="Times New Roman" w:hAnsi="Arial" w:cs="Arial"/>
          <w:b/>
          <w:bCs/>
          <w:color w:val="333333"/>
          <w:kern w:val="0"/>
          <w:sz w:val="28"/>
          <w:szCs w:val="28"/>
          <w:lang w:eastAsia="es-UY"/>
          <w14:ligatures w14:val="none"/>
        </w:rPr>
      </w:pPr>
      <w:r w:rsidRPr="00631CDF">
        <w:rPr>
          <w:rFonts w:ascii="Arial" w:eastAsia="Times New Roman" w:hAnsi="Arial" w:cs="Arial"/>
          <w:b/>
          <w:bCs/>
          <w:color w:val="333333"/>
          <w:kern w:val="0"/>
          <w:sz w:val="28"/>
          <w:szCs w:val="28"/>
          <w:lang w:eastAsia="es-UY"/>
          <w14:ligatures w14:val="none"/>
        </w:rPr>
        <w:t>Aquí está el texto. </w:t>
      </w:r>
    </w:p>
    <w:p w14:paraId="23622681" w14:textId="77777777" w:rsidR="00631CDF" w:rsidRPr="00631CDF" w:rsidRDefault="00631CDF" w:rsidP="00631CDF">
      <w:pPr>
        <w:spacing w:after="0" w:line="240" w:lineRule="auto"/>
        <w:jc w:val="both"/>
        <w:outlineLvl w:val="1"/>
        <w:rPr>
          <w:rFonts w:ascii="Arial" w:eastAsia="Times New Roman" w:hAnsi="Arial" w:cs="Arial"/>
          <w:b/>
          <w:bCs/>
          <w:color w:val="333333"/>
          <w:kern w:val="0"/>
          <w:sz w:val="24"/>
          <w:szCs w:val="24"/>
          <w:lang w:eastAsia="es-UY"/>
          <w14:ligatures w14:val="none"/>
        </w:rPr>
      </w:pPr>
    </w:p>
    <w:p w14:paraId="67063C13" w14:textId="77777777" w:rsid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r w:rsidRPr="00631CDF">
        <w:rPr>
          <w:rFonts w:ascii="Arial" w:eastAsia="Times New Roman" w:hAnsi="Arial" w:cs="Arial"/>
          <w:color w:val="333333"/>
          <w:kern w:val="0"/>
          <w:sz w:val="24"/>
          <w:szCs w:val="24"/>
          <w:lang w:eastAsia="es-UY"/>
          <w14:ligatures w14:val="none"/>
        </w:rPr>
        <w:t>La </w:t>
      </w:r>
      <w:r w:rsidRPr="00631CDF">
        <w:rPr>
          <w:rFonts w:ascii="Arial" w:eastAsia="Times New Roman" w:hAnsi="Arial" w:cs="Arial"/>
          <w:b/>
          <w:bCs/>
          <w:color w:val="333333"/>
          <w:kern w:val="0"/>
          <w:sz w:val="24"/>
          <w:szCs w:val="24"/>
          <w:lang w:eastAsia="es-UY"/>
          <w14:ligatures w14:val="none"/>
        </w:rPr>
        <w:t>Iglesia Católica</w:t>
      </w:r>
      <w:r w:rsidRPr="00631CDF">
        <w:rPr>
          <w:rFonts w:ascii="Arial" w:eastAsia="Times New Roman" w:hAnsi="Arial" w:cs="Arial"/>
          <w:color w:val="333333"/>
          <w:kern w:val="0"/>
          <w:sz w:val="24"/>
          <w:szCs w:val="24"/>
          <w:lang w:eastAsia="es-UY"/>
          <w14:ligatures w14:val="none"/>
        </w:rPr>
        <w:t> se ve a sí misma como una iglesia en la que la ley es un instrumento para dar forma a su misión y proteger a los fieles de reglas arbitrarias. Poca otra comunidad religiosa tiene un sistema jurídico eclesiástico tan desarrollado como la Iglesia Católica. Sin embargo, el modo en que surge este derecho, que tiene un profundo impacto en la Iglesia, está regulado sorprendentemente brevemente en el derecho canónico. En tres palabras latinas, el </w:t>
      </w:r>
      <w:r w:rsidRPr="00631CDF">
        <w:rPr>
          <w:rFonts w:ascii="Arial" w:eastAsia="Times New Roman" w:hAnsi="Arial" w:cs="Arial"/>
          <w:i/>
          <w:iCs/>
          <w:color w:val="333333"/>
          <w:kern w:val="0"/>
          <w:sz w:val="24"/>
          <w:szCs w:val="24"/>
          <w:lang w:eastAsia="es-UY"/>
          <w14:ligatures w14:val="none"/>
        </w:rPr>
        <w:t xml:space="preserve">Codex Iuris </w:t>
      </w:r>
      <w:proofErr w:type="spellStart"/>
      <w:r w:rsidRPr="00631CDF">
        <w:rPr>
          <w:rFonts w:ascii="Arial" w:eastAsia="Times New Roman" w:hAnsi="Arial" w:cs="Arial"/>
          <w:i/>
          <w:iCs/>
          <w:color w:val="333333"/>
          <w:kern w:val="0"/>
          <w:sz w:val="24"/>
          <w:szCs w:val="24"/>
          <w:lang w:eastAsia="es-UY"/>
          <w14:ligatures w14:val="none"/>
        </w:rPr>
        <w:t>Canonici</w:t>
      </w:r>
      <w:proofErr w:type="spellEnd"/>
      <w:r w:rsidRPr="00631CDF">
        <w:rPr>
          <w:rFonts w:ascii="Arial" w:eastAsia="Times New Roman" w:hAnsi="Arial" w:cs="Arial"/>
          <w:color w:val="333333"/>
          <w:kern w:val="0"/>
          <w:sz w:val="24"/>
          <w:szCs w:val="24"/>
          <w:lang w:eastAsia="es-UY"/>
          <w14:ligatures w14:val="none"/>
        </w:rPr>
        <w:t> abarca todo el proceso legislativo de la Iglesia. En la traducción alemana se necesitan al menos nueve palabras: </w:t>
      </w:r>
      <w:proofErr w:type="spellStart"/>
      <w:r w:rsidRPr="00631CDF">
        <w:rPr>
          <w:rFonts w:ascii="Arial" w:eastAsia="Times New Roman" w:hAnsi="Arial" w:cs="Arial"/>
          <w:i/>
          <w:iCs/>
          <w:color w:val="333333"/>
          <w:kern w:val="0"/>
          <w:sz w:val="24"/>
          <w:szCs w:val="24"/>
          <w:lang w:eastAsia="es-UY"/>
          <w14:ligatures w14:val="none"/>
        </w:rPr>
        <w:t>Ein</w:t>
      </w:r>
      <w:proofErr w:type="spellEnd"/>
      <w:r w:rsidRPr="00631CDF">
        <w:rPr>
          <w:rFonts w:ascii="Arial" w:eastAsia="Times New Roman" w:hAnsi="Arial" w:cs="Arial"/>
          <w:i/>
          <w:iCs/>
          <w:color w:val="333333"/>
          <w:kern w:val="0"/>
          <w:sz w:val="24"/>
          <w:szCs w:val="24"/>
          <w:lang w:eastAsia="es-UY"/>
          <w14:ligatures w14:val="none"/>
        </w:rPr>
        <w:t xml:space="preserve"> </w:t>
      </w:r>
      <w:proofErr w:type="spellStart"/>
      <w:r w:rsidRPr="00631CDF">
        <w:rPr>
          <w:rFonts w:ascii="Arial" w:eastAsia="Times New Roman" w:hAnsi="Arial" w:cs="Arial"/>
          <w:i/>
          <w:iCs/>
          <w:color w:val="333333"/>
          <w:kern w:val="0"/>
          <w:sz w:val="24"/>
          <w:szCs w:val="24"/>
          <w:lang w:eastAsia="es-UY"/>
          <w14:ligatures w14:val="none"/>
        </w:rPr>
        <w:t>Gesetz</w:t>
      </w:r>
      <w:proofErr w:type="spellEnd"/>
      <w:r w:rsidRPr="00631CDF">
        <w:rPr>
          <w:rFonts w:ascii="Arial" w:eastAsia="Times New Roman" w:hAnsi="Arial" w:cs="Arial"/>
          <w:i/>
          <w:iCs/>
          <w:color w:val="333333"/>
          <w:kern w:val="0"/>
          <w:sz w:val="24"/>
          <w:szCs w:val="24"/>
          <w:lang w:eastAsia="es-UY"/>
          <w14:ligatures w14:val="none"/>
        </w:rPr>
        <w:t xml:space="preserve"> </w:t>
      </w:r>
      <w:proofErr w:type="spellStart"/>
      <w:r w:rsidRPr="00631CDF">
        <w:rPr>
          <w:rFonts w:ascii="Arial" w:eastAsia="Times New Roman" w:hAnsi="Arial" w:cs="Arial"/>
          <w:i/>
          <w:iCs/>
          <w:color w:val="333333"/>
          <w:kern w:val="0"/>
          <w:sz w:val="24"/>
          <w:szCs w:val="24"/>
          <w:lang w:eastAsia="es-UY"/>
          <w14:ligatures w14:val="none"/>
        </w:rPr>
        <w:t>tritt</w:t>
      </w:r>
      <w:proofErr w:type="spellEnd"/>
      <w:r w:rsidRPr="00631CDF">
        <w:rPr>
          <w:rFonts w:ascii="Arial" w:eastAsia="Times New Roman" w:hAnsi="Arial" w:cs="Arial"/>
          <w:i/>
          <w:iCs/>
          <w:color w:val="333333"/>
          <w:kern w:val="0"/>
          <w:sz w:val="24"/>
          <w:szCs w:val="24"/>
          <w:lang w:eastAsia="es-UY"/>
          <w14:ligatures w14:val="none"/>
        </w:rPr>
        <w:t xml:space="preserve"> </w:t>
      </w:r>
      <w:proofErr w:type="spellStart"/>
      <w:r w:rsidRPr="00631CDF">
        <w:rPr>
          <w:rFonts w:ascii="Arial" w:eastAsia="Times New Roman" w:hAnsi="Arial" w:cs="Arial"/>
          <w:i/>
          <w:iCs/>
          <w:color w:val="333333"/>
          <w:kern w:val="0"/>
          <w:sz w:val="24"/>
          <w:szCs w:val="24"/>
          <w:lang w:eastAsia="es-UY"/>
          <w14:ligatures w14:val="none"/>
        </w:rPr>
        <w:t>ins</w:t>
      </w:r>
      <w:proofErr w:type="spellEnd"/>
      <w:r w:rsidRPr="00631CDF">
        <w:rPr>
          <w:rFonts w:ascii="Arial" w:eastAsia="Times New Roman" w:hAnsi="Arial" w:cs="Arial"/>
          <w:i/>
          <w:iCs/>
          <w:color w:val="333333"/>
          <w:kern w:val="0"/>
          <w:sz w:val="24"/>
          <w:szCs w:val="24"/>
          <w:lang w:eastAsia="es-UY"/>
          <w14:ligatures w14:val="none"/>
        </w:rPr>
        <w:t xml:space="preserve"> </w:t>
      </w:r>
      <w:proofErr w:type="spellStart"/>
      <w:r w:rsidRPr="00631CDF">
        <w:rPr>
          <w:rFonts w:ascii="Arial" w:eastAsia="Times New Roman" w:hAnsi="Arial" w:cs="Arial"/>
          <w:i/>
          <w:iCs/>
          <w:color w:val="333333"/>
          <w:kern w:val="0"/>
          <w:sz w:val="24"/>
          <w:szCs w:val="24"/>
          <w:lang w:eastAsia="es-UY"/>
          <w14:ligatures w14:val="none"/>
        </w:rPr>
        <w:t>Dasein</w:t>
      </w:r>
      <w:proofErr w:type="spellEnd"/>
      <w:r w:rsidRPr="00631CDF">
        <w:rPr>
          <w:rFonts w:ascii="Arial" w:eastAsia="Times New Roman" w:hAnsi="Arial" w:cs="Arial"/>
          <w:i/>
          <w:iCs/>
          <w:color w:val="333333"/>
          <w:kern w:val="0"/>
          <w:sz w:val="24"/>
          <w:szCs w:val="24"/>
          <w:lang w:eastAsia="es-UY"/>
          <w14:ligatures w14:val="none"/>
        </w:rPr>
        <w:t xml:space="preserve">, </w:t>
      </w:r>
      <w:proofErr w:type="spellStart"/>
      <w:r w:rsidRPr="00631CDF">
        <w:rPr>
          <w:rFonts w:ascii="Arial" w:eastAsia="Times New Roman" w:hAnsi="Arial" w:cs="Arial"/>
          <w:i/>
          <w:iCs/>
          <w:color w:val="333333"/>
          <w:kern w:val="0"/>
          <w:sz w:val="24"/>
          <w:szCs w:val="24"/>
          <w:lang w:eastAsia="es-UY"/>
          <w14:ligatures w14:val="none"/>
        </w:rPr>
        <w:t>indem</w:t>
      </w:r>
      <w:proofErr w:type="spellEnd"/>
      <w:r w:rsidRPr="00631CDF">
        <w:rPr>
          <w:rFonts w:ascii="Arial" w:eastAsia="Times New Roman" w:hAnsi="Arial" w:cs="Arial"/>
          <w:i/>
          <w:iCs/>
          <w:color w:val="333333"/>
          <w:kern w:val="0"/>
          <w:sz w:val="24"/>
          <w:szCs w:val="24"/>
          <w:lang w:eastAsia="es-UY"/>
          <w14:ligatures w14:val="none"/>
        </w:rPr>
        <w:t xml:space="preserve"> es </w:t>
      </w:r>
      <w:proofErr w:type="spellStart"/>
      <w:r w:rsidRPr="00631CDF">
        <w:rPr>
          <w:rFonts w:ascii="Arial" w:eastAsia="Times New Roman" w:hAnsi="Arial" w:cs="Arial"/>
          <w:i/>
          <w:iCs/>
          <w:color w:val="333333"/>
          <w:kern w:val="0"/>
          <w:sz w:val="24"/>
          <w:szCs w:val="24"/>
          <w:lang w:eastAsia="es-UY"/>
          <w14:ligatures w14:val="none"/>
        </w:rPr>
        <w:t>promulgiert</w:t>
      </w:r>
      <w:proofErr w:type="spellEnd"/>
      <w:r w:rsidRPr="00631CDF">
        <w:rPr>
          <w:rFonts w:ascii="Arial" w:eastAsia="Times New Roman" w:hAnsi="Arial" w:cs="Arial"/>
          <w:i/>
          <w:iCs/>
          <w:color w:val="333333"/>
          <w:kern w:val="0"/>
          <w:sz w:val="24"/>
          <w:szCs w:val="24"/>
          <w:lang w:eastAsia="es-UY"/>
          <w14:ligatures w14:val="none"/>
        </w:rPr>
        <w:t xml:space="preserve"> </w:t>
      </w:r>
      <w:proofErr w:type="spellStart"/>
      <w:r w:rsidRPr="00631CDF">
        <w:rPr>
          <w:rFonts w:ascii="Arial" w:eastAsia="Times New Roman" w:hAnsi="Arial" w:cs="Arial"/>
          <w:i/>
          <w:iCs/>
          <w:color w:val="333333"/>
          <w:kern w:val="0"/>
          <w:sz w:val="24"/>
          <w:szCs w:val="24"/>
          <w:lang w:eastAsia="es-UY"/>
          <w14:ligatures w14:val="none"/>
        </w:rPr>
        <w:t>wird</w:t>
      </w:r>
      <w:proofErr w:type="spellEnd"/>
      <w:r w:rsidRPr="00631CDF">
        <w:rPr>
          <w:rFonts w:ascii="Arial" w:eastAsia="Times New Roman" w:hAnsi="Arial" w:cs="Arial"/>
          <w:color w:val="333333"/>
          <w:kern w:val="0"/>
          <w:sz w:val="24"/>
          <w:szCs w:val="24"/>
          <w:lang w:eastAsia="es-UY"/>
          <w14:ligatures w14:val="none"/>
        </w:rPr>
        <w:t> (una ley surge cuando se promulga).</w:t>
      </w:r>
    </w:p>
    <w:p w14:paraId="762A0250" w14:textId="77777777" w:rsidR="00631CDF" w:rsidRP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p>
    <w:p w14:paraId="753B7FF0" w14:textId="77777777" w:rsid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r w:rsidRPr="00631CDF">
        <w:rPr>
          <w:rFonts w:ascii="Arial" w:eastAsia="Times New Roman" w:hAnsi="Arial" w:cs="Arial"/>
          <w:color w:val="333333"/>
          <w:kern w:val="0"/>
          <w:sz w:val="24"/>
          <w:szCs w:val="24"/>
          <w:lang w:eastAsia="es-UY"/>
          <w14:ligatures w14:val="none"/>
        </w:rPr>
        <w:t>Esto significa que un obispo crea </w:t>
      </w:r>
      <w:hyperlink r:id="rId6" w:tgtFrame="_blank" w:history="1">
        <w:r w:rsidRPr="00631CDF">
          <w:rPr>
            <w:rFonts w:ascii="Arial" w:eastAsia="Times New Roman" w:hAnsi="Arial" w:cs="Arial"/>
            <w:color w:val="FC6B01"/>
            <w:kern w:val="0"/>
            <w:sz w:val="24"/>
            <w:szCs w:val="24"/>
            <w:u w:val="single"/>
            <w:lang w:eastAsia="es-UY"/>
            <w14:ligatures w14:val="none"/>
          </w:rPr>
          <w:t>el derecho canónico</w:t>
        </w:r>
      </w:hyperlink>
      <w:r w:rsidRPr="00631CDF">
        <w:rPr>
          <w:rFonts w:ascii="Arial" w:eastAsia="Times New Roman" w:hAnsi="Arial" w:cs="Arial"/>
          <w:color w:val="333333"/>
          <w:kern w:val="0"/>
          <w:sz w:val="24"/>
          <w:szCs w:val="24"/>
          <w:lang w:eastAsia="es-UY"/>
          <w14:ligatures w14:val="none"/>
        </w:rPr>
        <w:t> casi de la nada, publicándolo con la intención de ponerlo en práctica. No aprendes nada sobre cómo llegar allí. Los creyentes, que se supone que están sujetos a la ley y deben vivir dentro de las estructuras definidas por ella, no tienen derechos documentados para participar en su creación. Y, sin embargo, incluso en los círculos interesados ​​en la Iglesia, la legislación eclesiástica es, en el mejor de los casos, un tema marginal. El </w:t>
      </w:r>
      <w:r w:rsidRPr="00631CDF">
        <w:rPr>
          <w:rFonts w:ascii="Arial" w:eastAsia="Times New Roman" w:hAnsi="Arial" w:cs="Arial"/>
          <w:b/>
          <w:bCs/>
          <w:color w:val="333333"/>
          <w:kern w:val="0"/>
          <w:sz w:val="24"/>
          <w:szCs w:val="24"/>
          <w:lang w:eastAsia="es-UY"/>
          <w14:ligatures w14:val="none"/>
        </w:rPr>
        <w:t>Camino Sinodal</w:t>
      </w:r>
      <w:r w:rsidRPr="00631CDF">
        <w:rPr>
          <w:rFonts w:ascii="Arial" w:eastAsia="Times New Roman" w:hAnsi="Arial" w:cs="Arial"/>
          <w:color w:val="333333"/>
          <w:kern w:val="0"/>
          <w:sz w:val="24"/>
          <w:szCs w:val="24"/>
          <w:lang w:eastAsia="es-UY"/>
          <w14:ligatures w14:val="none"/>
        </w:rPr>
        <w:t> ha hablado mucho sobre el poder y la separación de poderes, pero ha habido un vacío en cómo la legislación sinodal puede presentarse estructuralmente en la Iglesia y cómo los fieles pueden participar en el desarrollo del derecho canónico. Éste es uno de los defectos del Camino Sinodal.</w:t>
      </w:r>
    </w:p>
    <w:p w14:paraId="708AA4E5" w14:textId="77777777" w:rsidR="00631CDF" w:rsidRP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p>
    <w:p w14:paraId="06A80EA1" w14:textId="77777777" w:rsidR="00631CDF" w:rsidRPr="00631CDF" w:rsidRDefault="00631CDF" w:rsidP="00631CDF">
      <w:pPr>
        <w:spacing w:after="0" w:line="240" w:lineRule="auto"/>
        <w:jc w:val="both"/>
        <w:rPr>
          <w:rFonts w:ascii="Arial" w:eastAsia="Times New Roman" w:hAnsi="Arial" w:cs="Arial"/>
          <w:color w:val="333333"/>
          <w:kern w:val="0"/>
          <w:sz w:val="24"/>
          <w:szCs w:val="24"/>
          <w:lang w:eastAsia="es-UY"/>
          <w14:ligatures w14:val="none"/>
        </w:rPr>
      </w:pPr>
      <w:hyperlink r:id="rId7" w:tgtFrame="_blank" w:history="1">
        <w:r w:rsidRPr="00631CDF">
          <w:rPr>
            <w:rFonts w:ascii="Arial" w:eastAsia="Times New Roman" w:hAnsi="Arial" w:cs="Arial"/>
            <w:color w:val="FC6B01"/>
            <w:kern w:val="0"/>
            <w:sz w:val="24"/>
            <w:szCs w:val="24"/>
            <w:u w:val="single"/>
            <w:lang w:eastAsia="es-UY"/>
            <w14:ligatures w14:val="none"/>
          </w:rPr>
          <w:t xml:space="preserve">El obispo Georg </w:t>
        </w:r>
        <w:proofErr w:type="spellStart"/>
        <w:r w:rsidRPr="00631CDF">
          <w:rPr>
            <w:rFonts w:ascii="Arial" w:eastAsia="Times New Roman" w:hAnsi="Arial" w:cs="Arial"/>
            <w:color w:val="FC6B01"/>
            <w:kern w:val="0"/>
            <w:sz w:val="24"/>
            <w:szCs w:val="24"/>
            <w:u w:val="single"/>
            <w:lang w:eastAsia="es-UY"/>
            <w14:ligatures w14:val="none"/>
          </w:rPr>
          <w:t>Bätzing</w:t>
        </w:r>
        <w:proofErr w:type="spellEnd"/>
      </w:hyperlink>
      <w:r w:rsidRPr="00631CDF">
        <w:rPr>
          <w:rFonts w:ascii="Arial" w:eastAsia="Times New Roman" w:hAnsi="Arial" w:cs="Arial"/>
          <w:color w:val="333333"/>
          <w:kern w:val="0"/>
          <w:sz w:val="24"/>
          <w:szCs w:val="24"/>
          <w:lang w:eastAsia="es-UY"/>
          <w14:ligatures w14:val="none"/>
        </w:rPr>
        <w:t> se encarga ahora de llenar este vacío en su diócesis. Con el nuevo Boletín Oficial se ha publicado un " </w:t>
      </w:r>
      <w:r w:rsidRPr="00631CDF">
        <w:rPr>
          <w:rFonts w:ascii="Arial" w:eastAsia="Times New Roman" w:hAnsi="Arial" w:cs="Arial"/>
          <w:b/>
          <w:bCs/>
          <w:i/>
          <w:iCs/>
          <w:color w:val="333333"/>
          <w:kern w:val="0"/>
          <w:sz w:val="24"/>
          <w:szCs w:val="24"/>
          <w:lang w:eastAsia="es-UY"/>
          <w14:ligatures w14:val="none"/>
        </w:rPr>
        <w:t>Reglamento para el procedimiento normativo (procedimiento legislativo) en la diócesis de Limburgo</w:t>
      </w:r>
      <w:r w:rsidRPr="00631CDF">
        <w:rPr>
          <w:rFonts w:ascii="Arial" w:eastAsia="Times New Roman" w:hAnsi="Arial" w:cs="Arial"/>
          <w:color w:val="333333"/>
          <w:kern w:val="0"/>
          <w:sz w:val="24"/>
          <w:szCs w:val="24"/>
          <w:lang w:eastAsia="es-UY"/>
          <w14:ligatures w14:val="none"/>
        </w:rPr>
        <w:t xml:space="preserve"> ", que puede dar un vuelco a la a menudo nebulosa conversación sobre la sinodalidad: el obispo concede a sus comisiones -y también a los laicos </w:t>
      </w:r>
      <w:r w:rsidRPr="00631CDF">
        <w:rPr>
          <w:rFonts w:ascii="Arial" w:eastAsia="Times New Roman" w:hAnsi="Arial" w:cs="Arial"/>
          <w:color w:val="333333"/>
          <w:kern w:val="0"/>
          <w:sz w:val="24"/>
          <w:szCs w:val="24"/>
          <w:lang w:eastAsia="es-UY"/>
          <w14:ligatures w14:val="none"/>
        </w:rPr>
        <w:lastRenderedPageBreak/>
        <w:t>a través del </w:t>
      </w:r>
      <w:r w:rsidRPr="00631CDF">
        <w:rPr>
          <w:rFonts w:ascii="Arial" w:eastAsia="Times New Roman" w:hAnsi="Arial" w:cs="Arial"/>
          <w:b/>
          <w:bCs/>
          <w:color w:val="333333"/>
          <w:kern w:val="0"/>
          <w:sz w:val="24"/>
          <w:szCs w:val="24"/>
          <w:lang w:eastAsia="es-UY"/>
          <w14:ligatures w14:val="none"/>
        </w:rPr>
        <w:t>Consejo sinodal diocesano-</w:t>
      </w:r>
      <w:r w:rsidRPr="00631CDF">
        <w:rPr>
          <w:rFonts w:ascii="Arial" w:eastAsia="Times New Roman" w:hAnsi="Arial" w:cs="Arial"/>
          <w:color w:val="333333"/>
          <w:kern w:val="0"/>
          <w:sz w:val="24"/>
          <w:szCs w:val="24"/>
          <w:lang w:eastAsia="es-UY"/>
          <w14:ligatures w14:val="none"/>
        </w:rPr>
        <w:t> el derecho a proponer leyes y consultar sobre ellas antes de promulgarlas monárquicamente. Actualmente esto sólo existe en Limburgo; El obispo sigue siendo el único legislador, como lo exige el derecho canónico, y el público queda excluido cuando los comités discuten las leyes. Y, sin embargo, según los estándares de la Iglesia, esto es una revolución. Lo que preocupa a todos ahora lo pueden determinar, al menos, unos pocos y en cierta medida. </w:t>
      </w:r>
    </w:p>
    <w:p w14:paraId="22F15DB7" w14:textId="77777777" w:rsidR="00926044" w:rsidRDefault="00926044"/>
    <w:p w14:paraId="123BE84E" w14:textId="4FDB6836" w:rsidR="00631CDF" w:rsidRDefault="00631CDF">
      <w:hyperlink r:id="rId8" w:history="1">
        <w:r w:rsidRPr="00ED0621">
          <w:rPr>
            <w:rStyle w:val="Hipervnculo"/>
          </w:rPr>
          <w:t>https://www.ihu.unisinos.br/650617-revolucao-sinodal-no-direito-canonico?utm_campaign=newsletter_ihu__09-04-2025&amp;utm_medium=email&amp;utm_source=RD+Station</w:t>
        </w:r>
      </w:hyperlink>
    </w:p>
    <w:p w14:paraId="50FC0F94" w14:textId="77777777" w:rsidR="00631CDF" w:rsidRDefault="00631CDF"/>
    <w:sectPr w:rsidR="00631CD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CDF"/>
    <w:rsid w:val="005E6960"/>
    <w:rsid w:val="00631CDF"/>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EB567"/>
  <w15:chartTrackingRefBased/>
  <w15:docId w15:val="{806669E9-84CA-4C06-942A-EF27A55E7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31C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31C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31CD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31CD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31CD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31CD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31CD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31CD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31CD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1CD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31CD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31CD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31CD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31CD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31CD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31CD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31CD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31CDF"/>
    <w:rPr>
      <w:rFonts w:eastAsiaTheme="majorEastAsia" w:cstheme="majorBidi"/>
      <w:color w:val="272727" w:themeColor="text1" w:themeTint="D8"/>
    </w:rPr>
  </w:style>
  <w:style w:type="paragraph" w:styleId="Ttulo">
    <w:name w:val="Title"/>
    <w:basedOn w:val="Normal"/>
    <w:next w:val="Normal"/>
    <w:link w:val="TtuloCar"/>
    <w:uiPriority w:val="10"/>
    <w:qFormat/>
    <w:rsid w:val="00631C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31CD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31CD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31CD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31CDF"/>
    <w:pPr>
      <w:spacing w:before="160"/>
      <w:jc w:val="center"/>
    </w:pPr>
    <w:rPr>
      <w:i/>
      <w:iCs/>
      <w:color w:val="404040" w:themeColor="text1" w:themeTint="BF"/>
    </w:rPr>
  </w:style>
  <w:style w:type="character" w:customStyle="1" w:styleId="CitaCar">
    <w:name w:val="Cita Car"/>
    <w:basedOn w:val="Fuentedeprrafopredeter"/>
    <w:link w:val="Cita"/>
    <w:uiPriority w:val="29"/>
    <w:rsid w:val="00631CDF"/>
    <w:rPr>
      <w:i/>
      <w:iCs/>
      <w:color w:val="404040" w:themeColor="text1" w:themeTint="BF"/>
    </w:rPr>
  </w:style>
  <w:style w:type="paragraph" w:styleId="Prrafodelista">
    <w:name w:val="List Paragraph"/>
    <w:basedOn w:val="Normal"/>
    <w:uiPriority w:val="34"/>
    <w:qFormat/>
    <w:rsid w:val="00631CDF"/>
    <w:pPr>
      <w:ind w:left="720"/>
      <w:contextualSpacing/>
    </w:pPr>
  </w:style>
  <w:style w:type="character" w:styleId="nfasisintenso">
    <w:name w:val="Intense Emphasis"/>
    <w:basedOn w:val="Fuentedeprrafopredeter"/>
    <w:uiPriority w:val="21"/>
    <w:qFormat/>
    <w:rsid w:val="00631CDF"/>
    <w:rPr>
      <w:i/>
      <w:iCs/>
      <w:color w:val="0F4761" w:themeColor="accent1" w:themeShade="BF"/>
    </w:rPr>
  </w:style>
  <w:style w:type="paragraph" w:styleId="Citadestacada">
    <w:name w:val="Intense Quote"/>
    <w:basedOn w:val="Normal"/>
    <w:next w:val="Normal"/>
    <w:link w:val="CitadestacadaCar"/>
    <w:uiPriority w:val="30"/>
    <w:qFormat/>
    <w:rsid w:val="00631C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31CDF"/>
    <w:rPr>
      <w:i/>
      <w:iCs/>
      <w:color w:val="0F4761" w:themeColor="accent1" w:themeShade="BF"/>
    </w:rPr>
  </w:style>
  <w:style w:type="character" w:styleId="Referenciaintensa">
    <w:name w:val="Intense Reference"/>
    <w:basedOn w:val="Fuentedeprrafopredeter"/>
    <w:uiPriority w:val="32"/>
    <w:qFormat/>
    <w:rsid w:val="00631CDF"/>
    <w:rPr>
      <w:b/>
      <w:bCs/>
      <w:smallCaps/>
      <w:color w:val="0F4761" w:themeColor="accent1" w:themeShade="BF"/>
      <w:spacing w:val="5"/>
    </w:rPr>
  </w:style>
  <w:style w:type="character" w:styleId="Hipervnculo">
    <w:name w:val="Hyperlink"/>
    <w:basedOn w:val="Fuentedeprrafopredeter"/>
    <w:uiPriority w:val="99"/>
    <w:unhideWhenUsed/>
    <w:rsid w:val="00631CDF"/>
    <w:rPr>
      <w:color w:val="467886" w:themeColor="hyperlink"/>
      <w:u w:val="single"/>
    </w:rPr>
  </w:style>
  <w:style w:type="character" w:styleId="Mencinsinresolver">
    <w:name w:val="Unresolved Mention"/>
    <w:basedOn w:val="Fuentedeprrafopredeter"/>
    <w:uiPriority w:val="99"/>
    <w:semiHidden/>
    <w:unhideWhenUsed/>
    <w:rsid w:val="00631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35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50617-revolucao-sinodal-no-direito-canonico?utm_campaign=newsletter_ihu__09-04-2025&amp;utm_medium=email&amp;utm_source=RD+Station" TargetMode="External"/><Relationship Id="rId3" Type="http://schemas.openxmlformats.org/officeDocument/2006/relationships/webSettings" Target="webSettings.xml"/><Relationship Id="rId7" Type="http://schemas.openxmlformats.org/officeDocument/2006/relationships/hyperlink" Target="https://www.ihu.unisinos.br/categorias/645228-dom-georg-baetzing-preve-consequencias-canonicas-do-sinodo-mundia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hu.unisinos.br/categorias/644888-especialista-do-sinodo-mudancas-no-direito-canonico-ate-meados-de-2025" TargetMode="External"/><Relationship Id="rId5" Type="http://schemas.openxmlformats.org/officeDocument/2006/relationships/hyperlink" Target="https://www.ihu.unisinos.br/categorias/627035-alemanha-o-caminho-sinodal-tem-futuro-ou-entrou-em-um-beco-sem-saida"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572</Words>
  <Characters>3146</Characters>
  <Application>Microsoft Office Word</Application>
  <DocSecurity>0</DocSecurity>
  <Lines>26</Lines>
  <Paragraphs>7</Paragraphs>
  <ScaleCrop>false</ScaleCrop>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2025-04-10T11:33:00Z</dcterms:created>
  <dcterms:modified xsi:type="dcterms:W3CDTF">2025-04-10T11:34:00Z</dcterms:modified>
</cp:coreProperties>
</file>