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6D7FF" w14:textId="6376B7D9" w:rsidR="00462844" w:rsidRDefault="00462844" w:rsidP="00462844">
      <w:pPr>
        <w:spacing w:after="0" w:line="240" w:lineRule="auto"/>
        <w:jc w:val="both"/>
        <w:rPr>
          <w:rFonts w:ascii="Arial" w:eastAsia="Times New Roman" w:hAnsi="Arial" w:cs="Arial"/>
          <w:color w:val="666666"/>
          <w:kern w:val="0"/>
          <w:sz w:val="21"/>
          <w:szCs w:val="21"/>
          <w:lang w:val="pt-PT" w:eastAsia="es-UY"/>
          <w14:ligatures w14:val="none"/>
        </w:rPr>
      </w:pPr>
      <w:r w:rsidRPr="00462844">
        <w:rPr>
          <w:rFonts w:ascii="Arial" w:eastAsia="Times New Roman" w:hAnsi="Arial" w:cs="Arial"/>
          <w:color w:val="666666"/>
          <w:kern w:val="0"/>
          <w:sz w:val="21"/>
          <w:szCs w:val="21"/>
          <w:lang w:val="pt-PT" w:eastAsia="es-UY"/>
          <w14:ligatures w14:val="none"/>
        </w:rPr>
        <w:drawing>
          <wp:inline distT="0" distB="0" distL="0" distR="0" wp14:anchorId="5C77E057" wp14:editId="0B8E7833">
            <wp:extent cx="5400040" cy="2652395"/>
            <wp:effectExtent l="0" t="0" r="0" b="0"/>
            <wp:docPr id="1742239286" name="Imagen 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39286" name="Imagen 1" descr="Una captura de pantalla de un celular con texto e imágenes&#10;&#10;El contenido generado por IA puede ser incorrecto."/>
                    <pic:cNvPicPr/>
                  </pic:nvPicPr>
                  <pic:blipFill>
                    <a:blip r:embed="rId4"/>
                    <a:stretch>
                      <a:fillRect/>
                    </a:stretch>
                  </pic:blipFill>
                  <pic:spPr>
                    <a:xfrm>
                      <a:off x="0" y="0"/>
                      <a:ext cx="5400040" cy="2652395"/>
                    </a:xfrm>
                    <a:prstGeom prst="rect">
                      <a:avLst/>
                    </a:prstGeom>
                  </pic:spPr>
                </pic:pic>
              </a:graphicData>
            </a:graphic>
          </wp:inline>
        </w:drawing>
      </w:r>
    </w:p>
    <w:p w14:paraId="4AD38959" w14:textId="77777777" w:rsidR="00462844" w:rsidRDefault="00462844" w:rsidP="00462844">
      <w:pPr>
        <w:spacing w:after="0" w:line="240" w:lineRule="auto"/>
        <w:jc w:val="both"/>
        <w:rPr>
          <w:rFonts w:ascii="Arial" w:eastAsia="Times New Roman" w:hAnsi="Arial" w:cs="Arial"/>
          <w:color w:val="666666"/>
          <w:kern w:val="0"/>
          <w:sz w:val="21"/>
          <w:szCs w:val="21"/>
          <w:lang w:val="pt-PT" w:eastAsia="es-UY"/>
          <w14:ligatures w14:val="none"/>
        </w:rPr>
      </w:pPr>
    </w:p>
    <w:p w14:paraId="4C5CBEEC" w14:textId="3AC8F7B4" w:rsidR="00462844" w:rsidRPr="00462844" w:rsidRDefault="00462844" w:rsidP="00462844">
      <w:pPr>
        <w:spacing w:after="0" w:line="240" w:lineRule="auto"/>
        <w:jc w:val="both"/>
        <w:rPr>
          <w:rFonts w:ascii="Arial" w:eastAsia="Times New Roman" w:hAnsi="Arial" w:cs="Arial"/>
          <w:color w:val="666666"/>
          <w:kern w:val="0"/>
          <w:sz w:val="21"/>
          <w:szCs w:val="21"/>
          <w:lang w:val="pt-PT" w:eastAsia="es-UY"/>
          <w14:ligatures w14:val="none"/>
        </w:rPr>
      </w:pPr>
      <w:r w:rsidRPr="00462844">
        <w:rPr>
          <w:rFonts w:ascii="Arial" w:eastAsia="Times New Roman" w:hAnsi="Arial" w:cs="Arial"/>
          <w:color w:val="666666"/>
          <w:kern w:val="0"/>
          <w:sz w:val="21"/>
          <w:szCs w:val="21"/>
          <w:lang w:val="pt-PT" w:eastAsia="es-UY"/>
          <w14:ligatures w14:val="none"/>
        </w:rPr>
        <w:t>Por: </w:t>
      </w:r>
      <w:r w:rsidRPr="00462844">
        <w:rPr>
          <w:rFonts w:ascii="Arial" w:eastAsia="Times New Roman" w:hAnsi="Arial" w:cs="Arial"/>
          <w:b/>
          <w:bCs/>
          <w:color w:val="666666"/>
          <w:kern w:val="0"/>
          <w:sz w:val="21"/>
          <w:szCs w:val="21"/>
          <w:lang w:val="pt-PT" w:eastAsia="es-UY"/>
          <w14:ligatures w14:val="none"/>
        </w:rPr>
        <w:t>Marcia Junges |</w:t>
      </w:r>
      <w:r w:rsidRPr="00462844">
        <w:rPr>
          <w:rFonts w:ascii="Arial" w:eastAsia="Times New Roman" w:hAnsi="Arial" w:cs="Arial"/>
          <w:color w:val="666666"/>
          <w:kern w:val="0"/>
          <w:sz w:val="21"/>
          <w:szCs w:val="21"/>
          <w:lang w:val="pt-PT" w:eastAsia="es-UY"/>
          <w14:ligatures w14:val="none"/>
        </w:rPr>
        <w:t> 16 de abril de 2025</w:t>
      </w:r>
    </w:p>
    <w:p w14:paraId="1D154166"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En la sociedad de masas, que aún hoy es la nuestra, donde cada persona se ve a sí misma como un simple engranaje de un engranaje mayor, es común una profunda separación entre la personalidad individual y el rol que desempeña, como si el desempeño de funciones como empleado o servidor público estuviera exento de los juicios morales que normalmente se aplican a otros ámbitos de la vida. Además, la identidad personal a menudo se confunde por completo con la función desempeñada, reduciendo al individuo a la condición de un agente anónimo dentro de una estructura burocrática, vaciando la riqueza y complejidad de su humanidad, reflexiona </w:t>
      </w:r>
      <w:hyperlink r:id="rId5" w:tgtFrame="_blank" w:history="1">
        <w:r w:rsidRPr="00462844">
          <w:rPr>
            <w:rFonts w:ascii="Arial" w:eastAsia="Times New Roman" w:hAnsi="Arial" w:cs="Arial"/>
            <w:color w:val="FC6B01"/>
            <w:kern w:val="0"/>
            <w:sz w:val="27"/>
            <w:szCs w:val="27"/>
            <w:u w:val="single"/>
            <w:lang w:eastAsia="es-UY"/>
            <w14:ligatures w14:val="none"/>
          </w:rPr>
          <w:t>Adriano Correia Silva</w:t>
        </w:r>
      </w:hyperlink>
      <w:r w:rsidRPr="00462844">
        <w:rPr>
          <w:rFonts w:ascii="Arial" w:eastAsia="Times New Roman" w:hAnsi="Arial" w:cs="Arial"/>
          <w:color w:val="666666"/>
          <w:kern w:val="0"/>
          <w:sz w:val="27"/>
          <w:szCs w:val="27"/>
          <w:lang w:eastAsia="es-UY"/>
          <w14:ligatures w14:val="none"/>
        </w:rPr>
        <w:t>  en una entrevista concedida por correo electrónico al </w:t>
      </w:r>
      <w:r w:rsidRPr="00462844">
        <w:rPr>
          <w:rFonts w:ascii="Arial" w:eastAsia="Times New Roman" w:hAnsi="Arial" w:cs="Arial"/>
          <w:b/>
          <w:bCs/>
          <w:color w:val="666666"/>
          <w:kern w:val="0"/>
          <w:sz w:val="27"/>
          <w:szCs w:val="27"/>
          <w:lang w:eastAsia="es-UY"/>
          <w14:ligatures w14:val="none"/>
        </w:rPr>
        <w:t xml:space="preserve">Instituto </w:t>
      </w:r>
      <w:proofErr w:type="spellStart"/>
      <w:r w:rsidRPr="00462844">
        <w:rPr>
          <w:rFonts w:ascii="Arial" w:eastAsia="Times New Roman" w:hAnsi="Arial" w:cs="Arial"/>
          <w:b/>
          <w:bCs/>
          <w:color w:val="666666"/>
          <w:kern w:val="0"/>
          <w:sz w:val="27"/>
          <w:szCs w:val="27"/>
          <w:lang w:eastAsia="es-UY"/>
          <w14:ligatures w14:val="none"/>
        </w:rPr>
        <w:t>Humanitas</w:t>
      </w:r>
      <w:proofErr w:type="spellEnd"/>
      <w:r w:rsidRPr="00462844">
        <w:rPr>
          <w:rFonts w:ascii="Arial" w:eastAsia="Times New Roman" w:hAnsi="Arial" w:cs="Arial"/>
          <w:b/>
          <w:bCs/>
          <w:color w:val="666666"/>
          <w:kern w:val="0"/>
          <w:sz w:val="27"/>
          <w:szCs w:val="27"/>
          <w:lang w:eastAsia="es-UY"/>
          <w14:ligatures w14:val="none"/>
        </w:rPr>
        <w:t xml:space="preserve"> </w:t>
      </w:r>
      <w:proofErr w:type="spellStart"/>
      <w:r w:rsidRPr="00462844">
        <w:rPr>
          <w:rFonts w:ascii="Arial" w:eastAsia="Times New Roman" w:hAnsi="Arial" w:cs="Arial"/>
          <w:b/>
          <w:bCs/>
          <w:color w:val="666666"/>
          <w:kern w:val="0"/>
          <w:sz w:val="27"/>
          <w:szCs w:val="27"/>
          <w:lang w:eastAsia="es-UY"/>
          <w14:ligatures w14:val="none"/>
        </w:rPr>
        <w:t>Unisinos</w:t>
      </w:r>
      <w:proofErr w:type="spellEnd"/>
      <w:r w:rsidRPr="00462844">
        <w:rPr>
          <w:rFonts w:ascii="Arial" w:eastAsia="Times New Roman" w:hAnsi="Arial" w:cs="Arial"/>
          <w:b/>
          <w:bCs/>
          <w:color w:val="666666"/>
          <w:kern w:val="0"/>
          <w:sz w:val="27"/>
          <w:szCs w:val="27"/>
          <w:lang w:eastAsia="es-UY"/>
          <w14:ligatures w14:val="none"/>
        </w:rPr>
        <w:t xml:space="preserve"> – IHU</w:t>
      </w:r>
      <w:r w:rsidRPr="00462844">
        <w:rPr>
          <w:rFonts w:ascii="Arial" w:eastAsia="Times New Roman" w:hAnsi="Arial" w:cs="Arial"/>
          <w:color w:val="666666"/>
          <w:kern w:val="0"/>
          <w:sz w:val="27"/>
          <w:szCs w:val="27"/>
          <w:lang w:eastAsia="es-UY"/>
          <w14:ligatures w14:val="none"/>
        </w:rPr>
        <w:t> . Para la investigadora, «la falta de reflexión y el aislamiento de los individuos en nuestra sociedad, junto con la forma en que las redes sociales conectan a los individuos sin crear un espacio público entre ellos, constituyen los elementos centrales de la susceptibilidad de los individuos a los discursos conspirativos impulsados ​​por las fábricas de mentiras concebidas por diversos grupos de interés. Coincido con </w:t>
      </w:r>
      <w:hyperlink r:id="rId6" w:tgtFrame="_blank" w:history="1">
        <w:r w:rsidRPr="00462844">
          <w:rPr>
            <w:rFonts w:ascii="Arial" w:eastAsia="Times New Roman" w:hAnsi="Arial" w:cs="Arial"/>
            <w:color w:val="FC6B01"/>
            <w:kern w:val="0"/>
            <w:sz w:val="27"/>
            <w:szCs w:val="27"/>
            <w:u w:val="single"/>
            <w:lang w:eastAsia="es-UY"/>
            <w14:ligatures w14:val="none"/>
          </w:rPr>
          <w:t>Arendt</w:t>
        </w:r>
      </w:hyperlink>
      <w:r w:rsidRPr="00462844">
        <w:rPr>
          <w:rFonts w:ascii="Arial" w:eastAsia="Times New Roman" w:hAnsi="Arial" w:cs="Arial"/>
          <w:color w:val="666666"/>
          <w:kern w:val="0"/>
          <w:sz w:val="27"/>
          <w:szCs w:val="27"/>
          <w:lang w:eastAsia="es-UY"/>
          <w14:ligatures w14:val="none"/>
        </w:rPr>
        <w:t>  cuando argumenta que lo que explica la susceptibilidad de las masas a esta evasión de la realidad es su pérdida de un lugar en el mundo y su atomización, su pérdida de estatus social y de relaciones comunitarias donde el sentido común cobra sentido».</w:t>
      </w:r>
    </w:p>
    <w:p w14:paraId="40694943"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537A9B7A"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Para </w:t>
      </w:r>
      <w:r w:rsidRPr="00462844">
        <w:rPr>
          <w:rFonts w:ascii="Arial" w:eastAsia="Times New Roman" w:hAnsi="Arial" w:cs="Arial"/>
          <w:b/>
          <w:bCs/>
          <w:color w:val="666666"/>
          <w:kern w:val="0"/>
          <w:sz w:val="27"/>
          <w:szCs w:val="27"/>
          <w:lang w:eastAsia="es-UY"/>
          <w14:ligatures w14:val="none"/>
        </w:rPr>
        <w:t>Correia</w:t>
      </w:r>
      <w:r w:rsidRPr="00462844">
        <w:rPr>
          <w:rFonts w:ascii="Arial" w:eastAsia="Times New Roman" w:hAnsi="Arial" w:cs="Arial"/>
          <w:color w:val="666666"/>
          <w:kern w:val="0"/>
          <w:sz w:val="27"/>
          <w:szCs w:val="27"/>
          <w:lang w:eastAsia="es-UY"/>
          <w14:ligatures w14:val="none"/>
        </w:rPr>
        <w:t xml:space="preserve"> , existe una conexión entre la voracidad neoliberal contra los derechos civiles, políticos y laborales y la inducción sistemática de crisis que conducen a un comportamiento exaltado y a una adhesión apasionada a grupos. Existe algo así como el fomento del comportamiento pandillero que pretende socavar todo el marco institucional de la política liberal burguesa, así como los derechos </w:t>
      </w:r>
      <w:r w:rsidRPr="00462844">
        <w:rPr>
          <w:rFonts w:ascii="Arial" w:eastAsia="Times New Roman" w:hAnsi="Arial" w:cs="Arial"/>
          <w:color w:val="666666"/>
          <w:kern w:val="0"/>
          <w:sz w:val="27"/>
          <w:szCs w:val="27"/>
          <w:lang w:eastAsia="es-UY"/>
          <w14:ligatures w14:val="none"/>
        </w:rPr>
        <w:lastRenderedPageBreak/>
        <w:t>conquistados en las luchas políticas libradas por las clases populares durante los últimos dos siglos.</w:t>
      </w:r>
    </w:p>
    <w:p w14:paraId="1C13E3A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21AB84B8"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Otro aspecto abordado en la entrevista es el concepto de la banalidad del mal, creado por la filósofa </w:t>
      </w:r>
      <w:hyperlink r:id="rId7" w:tgtFrame="_blank" w:history="1">
        <w:r w:rsidRPr="00462844">
          <w:rPr>
            <w:rFonts w:ascii="Arial" w:eastAsia="Times New Roman" w:hAnsi="Arial" w:cs="Arial"/>
            <w:color w:val="FC6B01"/>
            <w:kern w:val="0"/>
            <w:sz w:val="27"/>
            <w:szCs w:val="27"/>
            <w:u w:val="single"/>
            <w:lang w:eastAsia="es-UY"/>
            <w14:ligatures w14:val="none"/>
          </w:rPr>
          <w:t>Hannah Arendt</w:t>
        </w:r>
      </w:hyperlink>
      <w:r w:rsidRPr="00462844">
        <w:rPr>
          <w:rFonts w:ascii="Arial" w:eastAsia="Times New Roman" w:hAnsi="Arial" w:cs="Arial"/>
          <w:color w:val="666666"/>
          <w:kern w:val="0"/>
          <w:sz w:val="27"/>
          <w:szCs w:val="27"/>
          <w:lang w:eastAsia="es-UY"/>
          <w14:ligatures w14:val="none"/>
        </w:rPr>
        <w:t>  en el contexto del juicio a </w:t>
      </w:r>
      <w:hyperlink r:id="rId8" w:tgtFrame="_blank" w:history="1">
        <w:r w:rsidRPr="00462844">
          <w:rPr>
            <w:rFonts w:ascii="Arial" w:eastAsia="Times New Roman" w:hAnsi="Arial" w:cs="Arial"/>
            <w:color w:val="FC6B01"/>
            <w:kern w:val="0"/>
            <w:sz w:val="27"/>
            <w:szCs w:val="27"/>
            <w:u w:val="single"/>
            <w:lang w:eastAsia="es-UY"/>
            <w14:ligatures w14:val="none"/>
          </w:rPr>
          <w:t>Adolf Eichmann</w:t>
        </w:r>
      </w:hyperlink>
      <w:r w:rsidRPr="00462844">
        <w:rPr>
          <w:rFonts w:ascii="Arial" w:eastAsia="Times New Roman" w:hAnsi="Arial" w:cs="Arial"/>
          <w:color w:val="666666"/>
          <w:kern w:val="0"/>
          <w:sz w:val="27"/>
          <w:szCs w:val="27"/>
          <w:lang w:eastAsia="es-UY"/>
          <w14:ligatures w14:val="none"/>
        </w:rPr>
        <w:t>  en </w:t>
      </w:r>
      <w:r w:rsidRPr="00462844">
        <w:rPr>
          <w:rFonts w:ascii="Arial" w:eastAsia="Times New Roman" w:hAnsi="Arial" w:cs="Arial"/>
          <w:b/>
          <w:bCs/>
          <w:color w:val="666666"/>
          <w:kern w:val="0"/>
          <w:sz w:val="27"/>
          <w:szCs w:val="27"/>
          <w:lang w:eastAsia="es-UY"/>
          <w14:ligatures w14:val="none"/>
        </w:rPr>
        <w:t>Jerusalén</w:t>
      </w:r>
      <w:r w:rsidRPr="00462844">
        <w:rPr>
          <w:rFonts w:ascii="Arial" w:eastAsia="Times New Roman" w:hAnsi="Arial" w:cs="Arial"/>
          <w:color w:val="666666"/>
          <w:kern w:val="0"/>
          <w:sz w:val="27"/>
          <w:szCs w:val="27"/>
          <w:lang w:eastAsia="es-UY"/>
          <w14:ligatures w14:val="none"/>
        </w:rPr>
        <w:t xml:space="preserve"> . “Se trataba de un mal superficial, desarraigado de las motivaciones de su autor, que se basaba en la falta de reflexión y la consecuente incapacidad del agente para juzgar”, argumenta. La relevancia de esta idea es enorme, ya que seguimos inmersos en sistemas burocráticos, cuya lógica opera a través de un sistema de </w:t>
      </w:r>
      <w:proofErr w:type="spellStart"/>
      <w:r w:rsidRPr="00462844">
        <w:rPr>
          <w:rFonts w:ascii="Arial" w:eastAsia="Times New Roman" w:hAnsi="Arial" w:cs="Arial"/>
          <w:color w:val="666666"/>
          <w:kern w:val="0"/>
          <w:sz w:val="27"/>
          <w:szCs w:val="27"/>
          <w:lang w:eastAsia="es-UY"/>
          <w14:ligatures w14:val="none"/>
        </w:rPr>
        <w:t>impersonalización</w:t>
      </w:r>
      <w:proofErr w:type="spellEnd"/>
      <w:r w:rsidRPr="00462844">
        <w:rPr>
          <w:rFonts w:ascii="Arial" w:eastAsia="Times New Roman" w:hAnsi="Arial" w:cs="Arial"/>
          <w:color w:val="666666"/>
          <w:kern w:val="0"/>
          <w:sz w:val="27"/>
          <w:szCs w:val="27"/>
          <w:lang w:eastAsia="es-UY"/>
          <w14:ligatures w14:val="none"/>
        </w:rPr>
        <w:t>, o de “gobierno de nadie”, como proponía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 que puede ser seguido por cualquiera de nosotros.</w:t>
      </w:r>
    </w:p>
    <w:p w14:paraId="4C0F41D0" w14:textId="77777777" w:rsidR="00462844" w:rsidRPr="00462844" w:rsidRDefault="00462844" w:rsidP="00462844">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462844">
        <w:rPr>
          <w:rFonts w:ascii="Times New Roman" w:eastAsia="Times New Roman" w:hAnsi="Times New Roman" w:cs="Times New Roman"/>
          <w:noProof/>
          <w:color w:val="000000"/>
          <w:kern w:val="0"/>
          <w:sz w:val="27"/>
          <w:szCs w:val="27"/>
          <w:lang w:eastAsia="es-UY"/>
          <w14:ligatures w14:val="none"/>
        </w:rPr>
        <w:drawing>
          <wp:inline distT="0" distB="0" distL="0" distR="0" wp14:anchorId="0FB8CE41" wp14:editId="73A5E968">
            <wp:extent cx="1879177" cy="1409383"/>
            <wp:effectExtent l="0" t="0" r="6985" b="635"/>
            <wp:docPr id="2" name="Imagen 1" descr="Un hombre con lentes y camiseta neg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hombre con lentes y camiseta negr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411" cy="1414808"/>
                    </a:xfrm>
                    <a:prstGeom prst="rect">
                      <a:avLst/>
                    </a:prstGeom>
                    <a:noFill/>
                    <a:ln>
                      <a:noFill/>
                    </a:ln>
                  </pic:spPr>
                </pic:pic>
              </a:graphicData>
            </a:graphic>
          </wp:inline>
        </w:drawing>
      </w:r>
    </w:p>
    <w:p w14:paraId="005CA088" w14:textId="77777777" w:rsidR="00462844" w:rsidRPr="00462844" w:rsidRDefault="00462844" w:rsidP="00462844">
      <w:pPr>
        <w:spacing w:after="0" w:line="240" w:lineRule="auto"/>
        <w:jc w:val="both"/>
        <w:rPr>
          <w:rFonts w:ascii="Arial" w:eastAsia="Times New Roman" w:hAnsi="Arial" w:cs="Arial"/>
          <w:color w:val="666666"/>
          <w:kern w:val="0"/>
          <w:sz w:val="18"/>
          <w:szCs w:val="18"/>
          <w:lang w:eastAsia="es-UY"/>
          <w14:ligatures w14:val="none"/>
        </w:rPr>
      </w:pPr>
      <w:r w:rsidRPr="00462844">
        <w:rPr>
          <w:rFonts w:ascii="Arial" w:eastAsia="Times New Roman" w:hAnsi="Arial" w:cs="Arial"/>
          <w:b/>
          <w:bCs/>
          <w:color w:val="666666"/>
          <w:kern w:val="0"/>
          <w:sz w:val="18"/>
          <w:szCs w:val="18"/>
          <w:lang w:eastAsia="es-UY"/>
          <w14:ligatures w14:val="none"/>
        </w:rPr>
        <w:t>Adriano Correia Silva</w:t>
      </w:r>
      <w:r w:rsidRPr="00462844">
        <w:rPr>
          <w:rFonts w:ascii="Arial" w:eastAsia="Times New Roman" w:hAnsi="Arial" w:cs="Arial"/>
          <w:color w:val="666666"/>
          <w:kern w:val="0"/>
          <w:sz w:val="18"/>
          <w:szCs w:val="18"/>
          <w:lang w:eastAsia="es-UY"/>
          <w14:ligatures w14:val="none"/>
        </w:rPr>
        <w:t> (Foto: Archivo Personal)</w:t>
      </w:r>
    </w:p>
    <w:p w14:paraId="7C873E52"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es licenciado en Filosofía (licenciatura y licenciatura) por la </w:t>
      </w:r>
      <w:r w:rsidRPr="00462844">
        <w:rPr>
          <w:rFonts w:ascii="Arial" w:eastAsia="Times New Roman" w:hAnsi="Arial" w:cs="Arial"/>
          <w:b/>
          <w:bCs/>
          <w:color w:val="666666"/>
          <w:kern w:val="0"/>
          <w:sz w:val="27"/>
          <w:szCs w:val="27"/>
          <w:lang w:eastAsia="es-UY"/>
          <w14:ligatures w14:val="none"/>
        </w:rPr>
        <w:t>Pontificia Universidad Católica de Campinas</w:t>
      </w:r>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PUC-Campinas</w:t>
      </w:r>
      <w:r w:rsidRPr="00462844">
        <w:rPr>
          <w:rFonts w:ascii="Arial" w:eastAsia="Times New Roman" w:hAnsi="Arial" w:cs="Arial"/>
          <w:color w:val="666666"/>
          <w:kern w:val="0"/>
          <w:sz w:val="27"/>
          <w:szCs w:val="27"/>
          <w:lang w:eastAsia="es-UY"/>
          <w14:ligatures w14:val="none"/>
        </w:rPr>
        <w:t> ) y máster en Filosofía por la misma institución. Es maestro en Educación y doctor en Filosofía por la </w:t>
      </w:r>
      <w:r w:rsidRPr="00462844">
        <w:rPr>
          <w:rFonts w:ascii="Arial" w:eastAsia="Times New Roman" w:hAnsi="Arial" w:cs="Arial"/>
          <w:b/>
          <w:bCs/>
          <w:color w:val="666666"/>
          <w:kern w:val="0"/>
          <w:sz w:val="27"/>
          <w:szCs w:val="27"/>
          <w:lang w:eastAsia="es-UY"/>
          <w14:ligatures w14:val="none"/>
        </w:rPr>
        <w:t>Universidad Estatal de Campinas</w:t>
      </w:r>
      <w:r w:rsidRPr="00462844">
        <w:rPr>
          <w:rFonts w:ascii="Arial" w:eastAsia="Times New Roman" w:hAnsi="Arial" w:cs="Arial"/>
          <w:color w:val="666666"/>
          <w:kern w:val="0"/>
          <w:sz w:val="27"/>
          <w:szCs w:val="27"/>
          <w:lang w:eastAsia="es-UY"/>
          <w14:ligatures w14:val="none"/>
        </w:rPr>
        <w:t> ( </w:t>
      </w:r>
      <w:proofErr w:type="spellStart"/>
      <w:r w:rsidRPr="00462844">
        <w:rPr>
          <w:rFonts w:ascii="Arial" w:eastAsia="Times New Roman" w:hAnsi="Arial" w:cs="Arial"/>
          <w:b/>
          <w:bCs/>
          <w:color w:val="666666"/>
          <w:kern w:val="0"/>
          <w:sz w:val="27"/>
          <w:szCs w:val="27"/>
          <w:lang w:eastAsia="es-UY"/>
          <w14:ligatures w14:val="none"/>
        </w:rPr>
        <w:t>Unicamp</w:t>
      </w:r>
      <w:proofErr w:type="spellEnd"/>
      <w:r w:rsidRPr="00462844">
        <w:rPr>
          <w:rFonts w:ascii="Arial" w:eastAsia="Times New Roman" w:hAnsi="Arial" w:cs="Arial"/>
          <w:color w:val="666666"/>
          <w:kern w:val="0"/>
          <w:sz w:val="27"/>
          <w:szCs w:val="27"/>
          <w:lang w:eastAsia="es-UY"/>
          <w14:ligatures w14:val="none"/>
        </w:rPr>
        <w:t> ). Es profesor de la </w:t>
      </w:r>
      <w:r w:rsidRPr="00462844">
        <w:rPr>
          <w:rFonts w:ascii="Arial" w:eastAsia="Times New Roman" w:hAnsi="Arial" w:cs="Arial"/>
          <w:b/>
          <w:bCs/>
          <w:color w:val="666666"/>
          <w:kern w:val="0"/>
          <w:sz w:val="27"/>
          <w:szCs w:val="27"/>
          <w:lang w:eastAsia="es-UY"/>
          <w14:ligatures w14:val="none"/>
        </w:rPr>
        <w:t>Universidad Federal de Goiás</w:t>
      </w:r>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UFG</w:t>
      </w:r>
      <w:r w:rsidRPr="00462844">
        <w:rPr>
          <w:rFonts w:ascii="Arial" w:eastAsia="Times New Roman" w:hAnsi="Arial" w:cs="Arial"/>
          <w:color w:val="666666"/>
          <w:kern w:val="0"/>
          <w:sz w:val="27"/>
          <w:szCs w:val="27"/>
          <w:lang w:eastAsia="es-UY"/>
          <w14:ligatures w14:val="none"/>
        </w:rPr>
        <w:t> ) desde 2006 . </w:t>
      </w:r>
      <w:proofErr w:type="spellStart"/>
      <w:r w:rsidRPr="00462844">
        <w:rPr>
          <w:rFonts w:ascii="Arial" w:eastAsia="Times New Roman" w:hAnsi="Arial" w:cs="Arial"/>
          <w:color w:val="666666"/>
          <w:kern w:val="0"/>
          <w:sz w:val="27"/>
          <w:szCs w:val="27"/>
          <w:lang w:val="en-US" w:eastAsia="es-UY"/>
          <w14:ligatures w14:val="none"/>
        </w:rPr>
        <w:t>Organizó</w:t>
      </w:r>
      <w:proofErr w:type="spellEnd"/>
      <w:r w:rsidRPr="00462844">
        <w:rPr>
          <w:rFonts w:ascii="Arial" w:eastAsia="Times New Roman" w:hAnsi="Arial" w:cs="Arial"/>
          <w:color w:val="666666"/>
          <w:kern w:val="0"/>
          <w:sz w:val="27"/>
          <w:szCs w:val="27"/>
          <w:lang w:val="en-US" w:eastAsia="es-UY"/>
          <w14:ligatures w14:val="none"/>
        </w:rPr>
        <w:t xml:space="preserve"> </w:t>
      </w:r>
      <w:proofErr w:type="spellStart"/>
      <w:r w:rsidRPr="00462844">
        <w:rPr>
          <w:rFonts w:ascii="Arial" w:eastAsia="Times New Roman" w:hAnsi="Arial" w:cs="Arial"/>
          <w:color w:val="666666"/>
          <w:kern w:val="0"/>
          <w:sz w:val="27"/>
          <w:szCs w:val="27"/>
          <w:lang w:val="en-US" w:eastAsia="es-UY"/>
          <w14:ligatures w14:val="none"/>
        </w:rPr>
        <w:t>los</w:t>
      </w:r>
      <w:proofErr w:type="spellEnd"/>
      <w:r w:rsidRPr="00462844">
        <w:rPr>
          <w:rFonts w:ascii="Arial" w:eastAsia="Times New Roman" w:hAnsi="Arial" w:cs="Arial"/>
          <w:color w:val="666666"/>
          <w:kern w:val="0"/>
          <w:sz w:val="27"/>
          <w:szCs w:val="27"/>
          <w:lang w:val="en-US" w:eastAsia="es-UY"/>
          <w14:ligatures w14:val="none"/>
        </w:rPr>
        <w:t xml:space="preserve"> </w:t>
      </w:r>
      <w:proofErr w:type="spellStart"/>
      <w:r w:rsidRPr="00462844">
        <w:rPr>
          <w:rFonts w:ascii="Arial" w:eastAsia="Times New Roman" w:hAnsi="Arial" w:cs="Arial"/>
          <w:color w:val="666666"/>
          <w:kern w:val="0"/>
          <w:sz w:val="27"/>
          <w:szCs w:val="27"/>
          <w:lang w:val="en-US" w:eastAsia="es-UY"/>
          <w14:ligatures w14:val="none"/>
        </w:rPr>
        <w:t>libros</w:t>
      </w:r>
      <w:proofErr w:type="spellEnd"/>
      <w:r w:rsidRPr="00462844">
        <w:rPr>
          <w:rFonts w:ascii="Arial" w:eastAsia="Times New Roman" w:hAnsi="Arial" w:cs="Arial"/>
          <w:color w:val="666666"/>
          <w:kern w:val="0"/>
          <w:sz w:val="27"/>
          <w:szCs w:val="27"/>
          <w:lang w:val="en-US" w:eastAsia="es-UY"/>
          <w14:ligatures w14:val="none"/>
        </w:rPr>
        <w:t> </w:t>
      </w:r>
      <w:r w:rsidRPr="00462844">
        <w:rPr>
          <w:rFonts w:ascii="Arial" w:eastAsia="Times New Roman" w:hAnsi="Arial" w:cs="Arial"/>
          <w:b/>
          <w:bCs/>
          <w:color w:val="666666"/>
          <w:kern w:val="0"/>
          <w:sz w:val="27"/>
          <w:szCs w:val="27"/>
          <w:lang w:val="en-US" w:eastAsia="es-UY"/>
          <w14:ligatures w14:val="none"/>
        </w:rPr>
        <w:t>Bridging the abyss: Hannah Arendt between philosophy and politics</w:t>
      </w:r>
      <w:r w:rsidRPr="00462844">
        <w:rPr>
          <w:rFonts w:ascii="Arial" w:eastAsia="Times New Roman" w:hAnsi="Arial" w:cs="Arial"/>
          <w:color w:val="666666"/>
          <w:kern w:val="0"/>
          <w:sz w:val="27"/>
          <w:szCs w:val="27"/>
          <w:lang w:val="en-US" w:eastAsia="es-UY"/>
          <w14:ligatures w14:val="none"/>
        </w:rPr>
        <w:t> (</w:t>
      </w:r>
      <w:proofErr w:type="spellStart"/>
      <w:r w:rsidRPr="00462844">
        <w:rPr>
          <w:rFonts w:ascii="Arial" w:eastAsia="Times New Roman" w:hAnsi="Arial" w:cs="Arial"/>
          <w:color w:val="666666"/>
          <w:kern w:val="0"/>
          <w:sz w:val="27"/>
          <w:szCs w:val="27"/>
          <w:lang w:val="en-US" w:eastAsia="es-UY"/>
          <w14:ligatures w14:val="none"/>
        </w:rPr>
        <w:t>Forense</w:t>
      </w:r>
      <w:proofErr w:type="spellEnd"/>
      <w:r w:rsidRPr="00462844">
        <w:rPr>
          <w:rFonts w:ascii="Arial" w:eastAsia="Times New Roman" w:hAnsi="Arial" w:cs="Arial"/>
          <w:color w:val="666666"/>
          <w:kern w:val="0"/>
          <w:sz w:val="27"/>
          <w:szCs w:val="27"/>
          <w:lang w:val="en-US" w:eastAsia="es-UY"/>
          <w14:ligatures w14:val="none"/>
        </w:rPr>
        <w:t xml:space="preserve"> </w:t>
      </w:r>
      <w:proofErr w:type="spellStart"/>
      <w:r w:rsidRPr="00462844">
        <w:rPr>
          <w:rFonts w:ascii="Arial" w:eastAsia="Times New Roman" w:hAnsi="Arial" w:cs="Arial"/>
          <w:color w:val="666666"/>
          <w:kern w:val="0"/>
          <w:sz w:val="27"/>
          <w:szCs w:val="27"/>
          <w:lang w:val="en-US" w:eastAsia="es-UY"/>
          <w14:ligatures w14:val="none"/>
        </w:rPr>
        <w:t>Universitária</w:t>
      </w:r>
      <w:proofErr w:type="spellEnd"/>
      <w:r w:rsidRPr="00462844">
        <w:rPr>
          <w:rFonts w:ascii="Arial" w:eastAsia="Times New Roman" w:hAnsi="Arial" w:cs="Arial"/>
          <w:color w:val="666666"/>
          <w:kern w:val="0"/>
          <w:sz w:val="27"/>
          <w:szCs w:val="27"/>
          <w:lang w:val="en-US" w:eastAsia="es-UY"/>
          <w14:ligatures w14:val="none"/>
        </w:rPr>
        <w:t>, 2002) y </w:t>
      </w:r>
      <w:r w:rsidRPr="00462844">
        <w:rPr>
          <w:rFonts w:ascii="Arial" w:eastAsia="Times New Roman" w:hAnsi="Arial" w:cs="Arial"/>
          <w:b/>
          <w:bCs/>
          <w:color w:val="666666"/>
          <w:kern w:val="0"/>
          <w:sz w:val="27"/>
          <w:szCs w:val="27"/>
          <w:lang w:val="en-US" w:eastAsia="es-UY"/>
          <w14:ligatures w14:val="none"/>
        </w:rPr>
        <w:t>Hannah Arendt and the human condition</w:t>
      </w:r>
      <w:r w:rsidRPr="00462844">
        <w:rPr>
          <w:rFonts w:ascii="Arial" w:eastAsia="Times New Roman" w:hAnsi="Arial" w:cs="Arial"/>
          <w:color w:val="666666"/>
          <w:kern w:val="0"/>
          <w:sz w:val="27"/>
          <w:szCs w:val="27"/>
          <w:lang w:val="en-US" w:eastAsia="es-UY"/>
          <w14:ligatures w14:val="none"/>
        </w:rPr>
        <w:t> (</w:t>
      </w:r>
      <w:proofErr w:type="spellStart"/>
      <w:r w:rsidRPr="00462844">
        <w:rPr>
          <w:rFonts w:ascii="Arial" w:eastAsia="Times New Roman" w:hAnsi="Arial" w:cs="Arial"/>
          <w:color w:val="666666"/>
          <w:kern w:val="0"/>
          <w:sz w:val="27"/>
          <w:szCs w:val="27"/>
          <w:lang w:val="en-US" w:eastAsia="es-UY"/>
          <w14:ligatures w14:val="none"/>
        </w:rPr>
        <w:t>Quarteto</w:t>
      </w:r>
      <w:proofErr w:type="spellEnd"/>
      <w:r w:rsidRPr="00462844">
        <w:rPr>
          <w:rFonts w:ascii="Arial" w:eastAsia="Times New Roman" w:hAnsi="Arial" w:cs="Arial"/>
          <w:color w:val="666666"/>
          <w:kern w:val="0"/>
          <w:sz w:val="27"/>
          <w:szCs w:val="27"/>
          <w:lang w:val="en-US" w:eastAsia="es-UY"/>
          <w14:ligatures w14:val="none"/>
        </w:rPr>
        <w:t xml:space="preserve">, 2006). </w:t>
      </w:r>
      <w:r w:rsidRPr="00462844">
        <w:rPr>
          <w:rFonts w:ascii="Arial" w:eastAsia="Times New Roman" w:hAnsi="Arial" w:cs="Arial"/>
          <w:color w:val="666666"/>
          <w:kern w:val="0"/>
          <w:sz w:val="27"/>
          <w:szCs w:val="27"/>
          <w:lang w:eastAsia="es-UY"/>
          <w14:ligatures w14:val="none"/>
        </w:rPr>
        <w:t>Publicó </w:t>
      </w:r>
      <w:r w:rsidRPr="00462844">
        <w:rPr>
          <w:rFonts w:ascii="Arial" w:eastAsia="Times New Roman" w:hAnsi="Arial" w:cs="Arial"/>
          <w:b/>
          <w:bCs/>
          <w:color w:val="666666"/>
          <w:kern w:val="0"/>
          <w:sz w:val="27"/>
          <w:szCs w:val="27"/>
          <w:lang w:eastAsia="es-UY"/>
          <w14:ligatures w14:val="none"/>
        </w:rPr>
        <w:t>Hannah Arendt</w:t>
      </w:r>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 xml:space="preserve">Jorge </w:t>
      </w:r>
      <w:proofErr w:type="spellStart"/>
      <w:r w:rsidRPr="00462844">
        <w:rPr>
          <w:rFonts w:ascii="Arial" w:eastAsia="Times New Roman" w:hAnsi="Arial" w:cs="Arial"/>
          <w:b/>
          <w:bCs/>
          <w:color w:val="666666"/>
          <w:kern w:val="0"/>
          <w:sz w:val="27"/>
          <w:szCs w:val="27"/>
          <w:lang w:eastAsia="es-UY"/>
          <w14:ligatures w14:val="none"/>
        </w:rPr>
        <w:t>Zahar</w:t>
      </w:r>
      <w:proofErr w:type="spellEnd"/>
      <w:r w:rsidRPr="00462844">
        <w:rPr>
          <w:rFonts w:ascii="Arial" w:eastAsia="Times New Roman" w:hAnsi="Arial" w:cs="Arial"/>
          <w:color w:val="666666"/>
          <w:kern w:val="0"/>
          <w:sz w:val="27"/>
          <w:szCs w:val="27"/>
          <w:lang w:eastAsia="es-UY"/>
          <w14:ligatures w14:val="none"/>
        </w:rPr>
        <w:t> , 2007), </w:t>
      </w:r>
      <w:r w:rsidRPr="00462844">
        <w:rPr>
          <w:rFonts w:ascii="Arial" w:eastAsia="Times New Roman" w:hAnsi="Arial" w:cs="Arial"/>
          <w:b/>
          <w:bCs/>
          <w:color w:val="666666"/>
          <w:kern w:val="0"/>
          <w:sz w:val="27"/>
          <w:szCs w:val="27"/>
          <w:lang w:eastAsia="es-UY"/>
          <w14:ligatures w14:val="none"/>
        </w:rPr>
        <w:t>El caso Eichmann: Hannah Arendt y las controversias jurídicas del juicio</w:t>
      </w:r>
      <w:r w:rsidRPr="00462844">
        <w:rPr>
          <w:rFonts w:ascii="Arial" w:eastAsia="Times New Roman" w:hAnsi="Arial" w:cs="Arial"/>
          <w:color w:val="666666"/>
          <w:kern w:val="0"/>
          <w:sz w:val="27"/>
          <w:szCs w:val="27"/>
          <w:lang w:eastAsia="es-UY"/>
          <w14:ligatures w14:val="none"/>
        </w:rPr>
        <w:t> (</w:t>
      </w:r>
      <w:proofErr w:type="spellStart"/>
      <w:r w:rsidRPr="00462844">
        <w:rPr>
          <w:rFonts w:ascii="Arial" w:eastAsia="Times New Roman" w:hAnsi="Arial" w:cs="Arial"/>
          <w:color w:val="666666"/>
          <w:kern w:val="0"/>
          <w:sz w:val="27"/>
          <w:szCs w:val="27"/>
          <w:lang w:eastAsia="es-UY"/>
          <w14:ligatures w14:val="none"/>
        </w:rPr>
        <w:t>Edições</w:t>
      </w:r>
      <w:proofErr w:type="spellEnd"/>
      <w:r w:rsidRPr="00462844">
        <w:rPr>
          <w:rFonts w:ascii="Arial" w:eastAsia="Times New Roman" w:hAnsi="Arial" w:cs="Arial"/>
          <w:color w:val="666666"/>
          <w:kern w:val="0"/>
          <w:sz w:val="27"/>
          <w:szCs w:val="27"/>
          <w:lang w:eastAsia="es-UY"/>
          <w14:ligatures w14:val="none"/>
        </w:rPr>
        <w:t xml:space="preserve"> 70, 2023) y </w:t>
      </w:r>
      <w:r w:rsidRPr="00462844">
        <w:rPr>
          <w:rFonts w:ascii="Arial" w:eastAsia="Times New Roman" w:hAnsi="Arial" w:cs="Arial"/>
          <w:b/>
          <w:bCs/>
          <w:color w:val="666666"/>
          <w:kern w:val="0"/>
          <w:sz w:val="27"/>
          <w:szCs w:val="27"/>
          <w:lang w:eastAsia="es-UY"/>
          <w14:ligatures w14:val="none"/>
        </w:rPr>
        <w:t>La banalidad del mal</w:t>
      </w:r>
      <w:r w:rsidRPr="00462844">
        <w:rPr>
          <w:rFonts w:ascii="Arial" w:eastAsia="Times New Roman" w:hAnsi="Arial" w:cs="Arial"/>
          <w:color w:val="666666"/>
          <w:kern w:val="0"/>
          <w:sz w:val="27"/>
          <w:szCs w:val="27"/>
          <w:lang w:eastAsia="es-UY"/>
          <w14:ligatures w14:val="none"/>
        </w:rPr>
        <w:t> (</w:t>
      </w:r>
      <w:proofErr w:type="spellStart"/>
      <w:r w:rsidRPr="00462844">
        <w:rPr>
          <w:rFonts w:ascii="Arial" w:eastAsia="Times New Roman" w:hAnsi="Arial" w:cs="Arial"/>
          <w:color w:val="666666"/>
          <w:kern w:val="0"/>
          <w:sz w:val="27"/>
          <w:szCs w:val="27"/>
          <w:lang w:eastAsia="es-UY"/>
          <w14:ligatures w14:val="none"/>
        </w:rPr>
        <w:t>Edições</w:t>
      </w:r>
      <w:proofErr w:type="spellEnd"/>
      <w:r w:rsidRPr="00462844">
        <w:rPr>
          <w:rFonts w:ascii="Arial" w:eastAsia="Times New Roman" w:hAnsi="Arial" w:cs="Arial"/>
          <w:color w:val="666666"/>
          <w:kern w:val="0"/>
          <w:sz w:val="27"/>
          <w:szCs w:val="27"/>
          <w:lang w:eastAsia="es-UY"/>
          <w14:ligatures w14:val="none"/>
        </w:rPr>
        <w:t xml:space="preserve"> 70, 2025).</w:t>
      </w:r>
    </w:p>
    <w:p w14:paraId="53FD8EA2"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6B6EC37A" w14:textId="77777777" w:rsidR="00462844" w:rsidRDefault="00462844" w:rsidP="00462844">
      <w:pPr>
        <w:spacing w:after="0" w:line="240" w:lineRule="auto"/>
        <w:jc w:val="both"/>
        <w:outlineLvl w:val="1"/>
        <w:rPr>
          <w:rFonts w:ascii="Arial" w:eastAsia="Times New Roman" w:hAnsi="Arial" w:cs="Arial"/>
          <w:b/>
          <w:bCs/>
          <w:color w:val="000000"/>
          <w:kern w:val="0"/>
          <w:sz w:val="36"/>
          <w:szCs w:val="36"/>
          <w:lang w:eastAsia="es-UY"/>
          <w14:ligatures w14:val="none"/>
        </w:rPr>
      </w:pPr>
      <w:r w:rsidRPr="00462844">
        <w:rPr>
          <w:rFonts w:ascii="Arial" w:eastAsia="Times New Roman" w:hAnsi="Arial" w:cs="Arial"/>
          <w:b/>
          <w:bCs/>
          <w:color w:val="000000"/>
          <w:kern w:val="0"/>
          <w:sz w:val="36"/>
          <w:szCs w:val="36"/>
          <w:lang w:eastAsia="es-UY"/>
          <w14:ligatures w14:val="none"/>
        </w:rPr>
        <w:t>Vea la entrevista.</w:t>
      </w:r>
    </w:p>
    <w:p w14:paraId="1464C6E7" w14:textId="77777777" w:rsidR="00462844" w:rsidRPr="00462844" w:rsidRDefault="00462844" w:rsidP="00462844">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34E18EF"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IHU – ¿Cuáles son los principales desafíos de hacer Filosofía en tiempos de negacionismo, fascismo y autoritarismo?</w:t>
      </w:r>
    </w:p>
    <w:p w14:paraId="361F34CF"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xml:space="preserve"> – Es tan urgente como difícil pensar en circunstancias en las que predominan el negacionismo, el fascismo y el autoritarismo. Urgente porque lo que caracteriza a estos ismos es, en gran medida, la ausencia de pluralidad de perspectivas, lo que hace que la reflexión y la crítica sean aún más transformadoras de lo que siempre son. Y es difícil porque en tales circunstancias vemos socavadas las bases mínimas para establecer un diálogo en el que sea posible tanto </w:t>
      </w:r>
      <w:r w:rsidRPr="00462844">
        <w:rPr>
          <w:rFonts w:ascii="Arial" w:eastAsia="Times New Roman" w:hAnsi="Arial" w:cs="Arial"/>
          <w:color w:val="666666"/>
          <w:kern w:val="0"/>
          <w:sz w:val="27"/>
          <w:szCs w:val="27"/>
          <w:lang w:eastAsia="es-UY"/>
          <w14:ligatures w14:val="none"/>
        </w:rPr>
        <w:lastRenderedPageBreak/>
        <w:t>converger como divergir. Asistimos a un profundo empobrecimiento del diálogo y del interés por la comprensión cuando se ignoran los acuerdos fundamentales sobre lo que constituye un argumento válido y sobre cómo ofrecer razones que puedan respaldar las opiniones. El dilema surge precisamente porque el empobrecimiento resultante de la capacidad de representar los puntos de vista de otras personas profundiza aún más este desprecio.</w:t>
      </w:r>
    </w:p>
    <w:p w14:paraId="23F91EDE" w14:textId="77777777" w:rsidR="00462844" w:rsidRPr="00462844" w:rsidRDefault="00462844" w:rsidP="00462844">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6639B493" w14:textId="77777777" w:rsidR="00462844" w:rsidRPr="00462844" w:rsidRDefault="00462844" w:rsidP="0046284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462844">
        <w:rPr>
          <w:rFonts w:ascii="Arial" w:eastAsia="Times New Roman" w:hAnsi="Arial" w:cs="Arial"/>
          <w:b/>
          <w:bCs/>
          <w:i/>
          <w:iCs/>
          <w:color w:val="BF4E14" w:themeColor="accent2" w:themeShade="BF"/>
          <w:kern w:val="0"/>
          <w:sz w:val="27"/>
          <w:szCs w:val="27"/>
          <w:lang w:eastAsia="es-UY"/>
          <w14:ligatures w14:val="none"/>
        </w:rPr>
        <w:t>“La producción de individuos atomizados, conectados en redes y al mismo tiempo consumidores de discursos prefabricados, envenena y arruina el debate público” – Adriano Correia Silva</w:t>
      </w:r>
    </w:p>
    <w:p w14:paraId="4ED16144" w14:textId="2721E685" w:rsidR="00462844" w:rsidRPr="00462844" w:rsidRDefault="00462844" w:rsidP="00462844">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518D3CD4"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Hace unos años, especialmente en 2020, asistimos a un ataque deliberado a la enseñanza y la investigación en filosofía, algo que desencadenó numerosas tensiones y el debilitamiento de la financiación de los estudios en el campo de la filosofía, pero también impulsó a varios investigadores a afrontar los desafíos que plantea el momento actual. Creo que el principal desafío de hacer filosofía en estos tiempos un tanto oscuros es precisamente el hecho de que no podemos prescindir de esa mínima confianza en el discurso argumentativo, que es paradójicamente lo que necesitamos para hacernos entender. Cuando se confunden los hechos con las opiniones y se consideran opiniones válidas simplemente porque son el punto de vista de alguien que no necesita rendir cuentas de ellas, la filosofía se encuentra en grandes dificultades, pero esto también puede demostrar su urgencia y nuestra capacidad para ofrecer elementos para la comprensión en situaciones tan adversas.</w:t>
      </w:r>
    </w:p>
    <w:p w14:paraId="3C13D3B0"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326363A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IHU – ¿Hasta qué punto el concepto de Arendt sobre la banalidad del mal sigue siendo una clave interpretativa para comprender no sólo el pasado, sino también el presente?</w:t>
      </w:r>
    </w:p>
    <w:p w14:paraId="29F331A6"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(1) concibió la noción de </w:t>
      </w:r>
      <w:r w:rsidRPr="00462844">
        <w:rPr>
          <w:rFonts w:ascii="Arial" w:eastAsia="Times New Roman" w:hAnsi="Arial" w:cs="Arial"/>
          <w:b/>
          <w:bCs/>
          <w:color w:val="666666"/>
          <w:kern w:val="0"/>
          <w:sz w:val="27"/>
          <w:szCs w:val="27"/>
          <w:lang w:eastAsia="es-UY"/>
          <w14:ligatures w14:val="none"/>
        </w:rPr>
        <w:t>la banalidad del mal</w:t>
      </w:r>
      <w:r w:rsidRPr="00462844">
        <w:rPr>
          <w:rFonts w:ascii="Arial" w:eastAsia="Times New Roman" w:hAnsi="Arial" w:cs="Arial"/>
          <w:color w:val="666666"/>
          <w:kern w:val="0"/>
          <w:sz w:val="27"/>
          <w:szCs w:val="27"/>
          <w:lang w:eastAsia="es-UY"/>
          <w14:ligatures w14:val="none"/>
        </w:rPr>
        <w:t> cuando siguió el juicio al criminal nazi </w:t>
      </w:r>
      <w:hyperlink r:id="rId10" w:tgtFrame="_blank" w:history="1">
        <w:r w:rsidRPr="00462844">
          <w:rPr>
            <w:rFonts w:ascii="Arial" w:eastAsia="Times New Roman" w:hAnsi="Arial" w:cs="Arial"/>
            <w:color w:val="FC6B01"/>
            <w:kern w:val="0"/>
            <w:sz w:val="27"/>
            <w:szCs w:val="27"/>
            <w:u w:val="single"/>
            <w:lang w:eastAsia="es-UY"/>
            <w14:ligatures w14:val="none"/>
          </w:rPr>
          <w:t>Adolf Eichmann</w:t>
        </w:r>
      </w:hyperlink>
      <w:r w:rsidRPr="00462844">
        <w:rPr>
          <w:rFonts w:ascii="Arial" w:eastAsia="Times New Roman" w:hAnsi="Arial" w:cs="Arial"/>
          <w:color w:val="666666"/>
          <w:kern w:val="0"/>
          <w:sz w:val="27"/>
          <w:szCs w:val="27"/>
          <w:lang w:eastAsia="es-UY"/>
          <w14:ligatures w14:val="none"/>
        </w:rPr>
        <w:t>  (2). Se trataba de un mal superficial, desvinculado de las motivaciones de su autor, que se basaba en la falta de reflexión del agente y su consecuente incapacidad para juzgar. </w:t>
      </w:r>
      <w:r w:rsidRPr="00462844">
        <w:rPr>
          <w:rFonts w:ascii="Arial" w:eastAsia="Times New Roman" w:hAnsi="Arial" w:cs="Arial"/>
          <w:b/>
          <w:bCs/>
          <w:color w:val="666666"/>
          <w:kern w:val="0"/>
          <w:sz w:val="27"/>
          <w:szCs w:val="27"/>
          <w:lang w:eastAsia="es-UY"/>
          <w14:ligatures w14:val="none"/>
        </w:rPr>
        <w:t>Eichmann</w:t>
      </w:r>
      <w:r w:rsidRPr="00462844">
        <w:rPr>
          <w:rFonts w:ascii="Arial" w:eastAsia="Times New Roman" w:hAnsi="Arial" w:cs="Arial"/>
          <w:color w:val="666666"/>
          <w:kern w:val="0"/>
          <w:sz w:val="27"/>
          <w:szCs w:val="27"/>
          <w:lang w:eastAsia="es-UY"/>
          <w14:ligatures w14:val="none"/>
        </w:rPr>
        <w:t> evitó asumir su responsabilidad individual al afirmar que simplemente estaba siguiendo órdenes dentro de un sistema que, de manera perversa, se había aprovechado de su celosa dedicación a su país. Según él, si no hubiera actuado como lo hizo, alguien más habría tomado su lugar y habría hecho lo mismo. La lógica de los sistemas burocráticos favorece este tipo de justificación, ya que, como observa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xml:space="preserve"> en distintos puntos de su obra, la burocracia representa “el gobierno de nadie”, lo que, </w:t>
      </w:r>
      <w:r w:rsidRPr="00462844">
        <w:rPr>
          <w:rFonts w:ascii="Arial" w:eastAsia="Times New Roman" w:hAnsi="Arial" w:cs="Arial"/>
          <w:color w:val="666666"/>
          <w:kern w:val="0"/>
          <w:sz w:val="27"/>
          <w:szCs w:val="27"/>
          <w:lang w:eastAsia="es-UY"/>
          <w14:ligatures w14:val="none"/>
        </w:rPr>
        <w:lastRenderedPageBreak/>
        <w:t>precisamente por eso, puede convertirla en “la forma más inhumana y cruel de gobierno”.</w:t>
      </w:r>
    </w:p>
    <w:p w14:paraId="06186564"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71C46C51"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Las críticas a la caracterización que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hizo de </w:t>
      </w:r>
      <w:r w:rsidRPr="00462844">
        <w:rPr>
          <w:rFonts w:ascii="Arial" w:eastAsia="Times New Roman" w:hAnsi="Arial" w:cs="Arial"/>
          <w:b/>
          <w:bCs/>
          <w:color w:val="666666"/>
          <w:kern w:val="0"/>
          <w:sz w:val="27"/>
          <w:szCs w:val="27"/>
          <w:lang w:eastAsia="es-UY"/>
          <w14:ligatures w14:val="none"/>
        </w:rPr>
        <w:t>Eichmann</w:t>
      </w:r>
      <w:r w:rsidRPr="00462844">
        <w:rPr>
          <w:rFonts w:ascii="Arial" w:eastAsia="Times New Roman" w:hAnsi="Arial" w:cs="Arial"/>
          <w:color w:val="666666"/>
          <w:kern w:val="0"/>
          <w:sz w:val="27"/>
          <w:szCs w:val="27"/>
          <w:lang w:eastAsia="es-UY"/>
          <w14:ligatures w14:val="none"/>
        </w:rPr>
        <w:t> fueron instantáneas, abundantes y furiosas. Causó indignación que retratara a un criminal directamente implicado en el genocidio de millones de judíos como alguien común: un hombre ambicioso, de perfil mediocre, un empleado dedicado, considerado un ciudadano ejemplar y un buen padre de familia, que veía en el </w:t>
      </w:r>
      <w:hyperlink r:id="rId11" w:tgtFrame="_blank" w:history="1">
        <w:r w:rsidRPr="00462844">
          <w:rPr>
            <w:rFonts w:ascii="Arial" w:eastAsia="Times New Roman" w:hAnsi="Arial" w:cs="Arial"/>
            <w:color w:val="FC6B01"/>
            <w:kern w:val="0"/>
            <w:sz w:val="27"/>
            <w:szCs w:val="27"/>
            <w:u w:val="single"/>
            <w:lang w:eastAsia="es-UY"/>
            <w14:ligatures w14:val="none"/>
          </w:rPr>
          <w:t>régimen nazi</w:t>
        </w:r>
      </w:hyperlink>
      <w:r w:rsidRPr="00462844">
        <w:rPr>
          <w:rFonts w:ascii="Arial" w:eastAsia="Times New Roman" w:hAnsi="Arial" w:cs="Arial"/>
          <w:color w:val="666666"/>
          <w:kern w:val="0"/>
          <w:sz w:val="27"/>
          <w:szCs w:val="27"/>
          <w:lang w:eastAsia="es-UY"/>
          <w14:ligatures w14:val="none"/>
        </w:rPr>
        <w:t> una oportunidad de ascenso profesional. Parecía inaceptable que alguien que colaboró ​​activamente en el exterminio, poniendo a disposición de ese fin sus habilidades logísticas y de negociación, no pudiera identificarse como antisemita –ni siquiera en textos escritos antes de ser juzgado– sin que ello fuera interpretado como una farsa o una puesta en escena.</w:t>
      </w:r>
    </w:p>
    <w:p w14:paraId="177C566A" w14:textId="77777777" w:rsidR="00462844" w:rsidRPr="00462844" w:rsidRDefault="00462844" w:rsidP="0046284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462844">
        <w:rPr>
          <w:rFonts w:ascii="Arial" w:eastAsia="Times New Roman" w:hAnsi="Arial" w:cs="Arial"/>
          <w:b/>
          <w:bCs/>
          <w:i/>
          <w:iCs/>
          <w:color w:val="BF4E14" w:themeColor="accent2" w:themeShade="BF"/>
          <w:kern w:val="0"/>
          <w:sz w:val="27"/>
          <w:szCs w:val="27"/>
          <w:lang w:eastAsia="es-UY"/>
          <w14:ligatures w14:val="none"/>
        </w:rPr>
        <w:t>“Hemos asistido desde hace algunos años, especialmente en 2020, a un ataque deliberado a la enseñanza y la investigación en filosofía” – Adriano Correia Silva</w:t>
      </w:r>
    </w:p>
    <w:p w14:paraId="180BE512" w14:textId="70F66752" w:rsidR="00462844" w:rsidRPr="00462844" w:rsidRDefault="00462844" w:rsidP="00462844">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1B5F9EBC"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Para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xml:space="preserve"> , sólo quien elige conscientemente, con cada decisión, el tipo de persona que quiere ser para sí </w:t>
      </w:r>
      <w:proofErr w:type="gramStart"/>
      <w:r w:rsidRPr="00462844">
        <w:rPr>
          <w:rFonts w:ascii="Arial" w:eastAsia="Times New Roman" w:hAnsi="Arial" w:cs="Arial"/>
          <w:color w:val="666666"/>
          <w:kern w:val="0"/>
          <w:sz w:val="27"/>
          <w:szCs w:val="27"/>
          <w:lang w:eastAsia="es-UY"/>
          <w14:ligatures w14:val="none"/>
        </w:rPr>
        <w:t>mismo,</w:t>
      </w:r>
      <w:proofErr w:type="gramEnd"/>
      <w:r w:rsidRPr="00462844">
        <w:rPr>
          <w:rFonts w:ascii="Arial" w:eastAsia="Times New Roman" w:hAnsi="Arial" w:cs="Arial"/>
          <w:color w:val="666666"/>
          <w:kern w:val="0"/>
          <w:sz w:val="27"/>
          <w:szCs w:val="27"/>
          <w:lang w:eastAsia="es-UY"/>
          <w14:ligatures w14:val="none"/>
        </w:rPr>
        <w:t xml:space="preserve"> puede comprender hasta dónde puede llegar sin contradecirse y comprometer su propia integridad, haciéndose difícil o incluso insoportable la convivencia consigo mismo. Pero para que esto suceda es necesario que exista efectivamente una relación interior con uno mismo. Estas elecciones conscientes requieren un diálogo constante con nuestros propios pensamientos cuando nos enfrentamos a situaciones cotidianas, ya sean provocadas por nosotros, presenciadas o sufridas. “Hacer el mal significa dañar esta capacidad”: perder el hábito de hablar consigo mismo, dejar de ser a la vez juez y testigo de las propias acciones, olvidar lo que se ha hecho y no reflexionar sobre si las propias acciones son coherentes con la persona que se quiere ser. Los peores transgresores son aquellos que ignoran estos límites, que no piensan y por tanto no crean profundidad ni raíces; se dejan llevar fácilmente por los acontecimientos, ya sea por el espíritu de los tiempos, por </w:t>
      </w:r>
      <w:r w:rsidRPr="00462844">
        <w:rPr>
          <w:rFonts w:ascii="Arial" w:eastAsia="Times New Roman" w:hAnsi="Arial" w:cs="Arial"/>
          <w:b/>
          <w:bCs/>
          <w:color w:val="666666"/>
          <w:kern w:val="0"/>
          <w:sz w:val="27"/>
          <w:szCs w:val="27"/>
          <w:lang w:eastAsia="es-UY"/>
          <w14:ligatures w14:val="none"/>
        </w:rPr>
        <w:t>la Historia</w:t>
      </w:r>
      <w:r w:rsidRPr="00462844">
        <w:rPr>
          <w:rFonts w:ascii="Arial" w:eastAsia="Times New Roman" w:hAnsi="Arial" w:cs="Arial"/>
          <w:color w:val="666666"/>
          <w:kern w:val="0"/>
          <w:sz w:val="27"/>
          <w:szCs w:val="27"/>
          <w:lang w:eastAsia="es-UY"/>
          <w14:ligatures w14:val="none"/>
        </w:rPr>
        <w:t> o por meras tentaciones.</w:t>
      </w:r>
    </w:p>
    <w:p w14:paraId="265EA12E"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3E5958CE" w14:textId="77777777" w:rsidR="00462844" w:rsidRPr="00462844" w:rsidRDefault="00462844" w:rsidP="00462844">
      <w:pPr>
        <w:spacing w:after="0" w:line="240" w:lineRule="auto"/>
        <w:jc w:val="both"/>
        <w:outlineLvl w:val="1"/>
        <w:rPr>
          <w:rFonts w:ascii="Arial" w:eastAsia="Times New Roman" w:hAnsi="Arial" w:cs="Arial"/>
          <w:b/>
          <w:bCs/>
          <w:color w:val="000000"/>
          <w:kern w:val="0"/>
          <w:sz w:val="36"/>
          <w:szCs w:val="36"/>
          <w:lang w:eastAsia="es-UY"/>
          <w14:ligatures w14:val="none"/>
        </w:rPr>
      </w:pPr>
      <w:r w:rsidRPr="00462844">
        <w:rPr>
          <w:rFonts w:ascii="Arial" w:eastAsia="Times New Roman" w:hAnsi="Arial" w:cs="Arial"/>
          <w:b/>
          <w:bCs/>
          <w:color w:val="000000"/>
          <w:kern w:val="0"/>
          <w:sz w:val="36"/>
          <w:szCs w:val="36"/>
          <w:lang w:eastAsia="es-UY"/>
          <w14:ligatures w14:val="none"/>
        </w:rPr>
        <w:t>Banalidad del mal y abandono de sí mismo</w:t>
      </w:r>
    </w:p>
    <w:p w14:paraId="04B0ADC2"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 xml:space="preserve">Lo que define a este tipo de mal es que se hace más extenso cuanto mayor es el número de personas que actúan de manera despersonalizada en su ejecución. En este mal característico de los tiempos contemporáneos, las intenciones personales casi nunca están a la altura de la gravedad de las acciones que estas personas pueden provocar. Su impacto no se debe esencialmente a figuras monstruosas, sino a quienes, sin reflexionar, se adaptan fácilmente a cualquier </w:t>
      </w:r>
      <w:r w:rsidRPr="00462844">
        <w:rPr>
          <w:rFonts w:ascii="Arial" w:eastAsia="Times New Roman" w:hAnsi="Arial" w:cs="Arial"/>
          <w:color w:val="666666"/>
          <w:kern w:val="0"/>
          <w:sz w:val="27"/>
          <w:szCs w:val="27"/>
          <w:lang w:eastAsia="es-UY"/>
          <w14:ligatures w14:val="none"/>
        </w:rPr>
        <w:lastRenderedPageBreak/>
        <w:t>contexto –ya sea por conformismo, conveniencia, creencia ciega o simple apatía– limitándose a cumplir eficientemente sus funciones burocráticas, sea cual sea su naturaleza. Creo que éste es un problema contemporáneo nuestro y fue a partir de esta observación que comencé a escribir mi libro más reciente ( </w:t>
      </w:r>
      <w:hyperlink r:id="rId12" w:tgtFrame="_blank" w:history="1">
        <w:r w:rsidRPr="00462844">
          <w:rPr>
            <w:rFonts w:ascii="Arial" w:eastAsia="Times New Roman" w:hAnsi="Arial" w:cs="Arial"/>
            <w:color w:val="FC6B01"/>
            <w:kern w:val="0"/>
            <w:sz w:val="27"/>
            <w:szCs w:val="27"/>
            <w:u w:val="single"/>
            <w:lang w:eastAsia="es-UY"/>
            <w14:ligatures w14:val="none"/>
          </w:rPr>
          <w:t>La banalidad del mal</w:t>
        </w:r>
      </w:hyperlink>
      <w:r w:rsidRPr="00462844">
        <w:rPr>
          <w:rFonts w:ascii="Arial" w:eastAsia="Times New Roman" w:hAnsi="Arial" w:cs="Arial"/>
          <w:color w:val="666666"/>
          <w:kern w:val="0"/>
          <w:sz w:val="27"/>
          <w:szCs w:val="27"/>
          <w:lang w:eastAsia="es-UY"/>
          <w14:ligatures w14:val="none"/>
        </w:rPr>
        <w:t> , Ed. 70, 2025).</w:t>
      </w:r>
    </w:p>
    <w:p w14:paraId="7A1BD3DE"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09069391" w14:textId="77777777" w:rsidR="00462844" w:rsidRPr="00462844" w:rsidRDefault="00462844" w:rsidP="00462844">
      <w:pPr>
        <w:spacing w:after="0" w:line="240" w:lineRule="auto"/>
        <w:jc w:val="center"/>
        <w:rPr>
          <w:rFonts w:ascii="Arial" w:eastAsia="Times New Roman" w:hAnsi="Arial" w:cs="Arial"/>
          <w:b/>
          <w:bCs/>
          <w:i/>
          <w:iCs/>
          <w:color w:val="666666"/>
          <w:kern w:val="0"/>
          <w:sz w:val="27"/>
          <w:szCs w:val="27"/>
          <w:lang w:eastAsia="es-UY"/>
          <w14:ligatures w14:val="none"/>
        </w:rPr>
      </w:pPr>
      <w:r w:rsidRPr="00462844">
        <w:rPr>
          <w:rFonts w:ascii="Arial" w:eastAsia="Times New Roman" w:hAnsi="Arial" w:cs="Arial"/>
          <w:b/>
          <w:bCs/>
          <w:i/>
          <w:iCs/>
          <w:color w:val="666666"/>
          <w:kern w:val="0"/>
          <w:sz w:val="27"/>
          <w:szCs w:val="27"/>
          <w:lang w:eastAsia="es-UY"/>
          <w14:ligatures w14:val="none"/>
        </w:rPr>
        <w:t>“Eichmann evitó asumir su responsabilidad individual al afirmar que simplemente cumplía órdenes dentro de un sistema que, de manera perversa, se había aprovechado de su celosa dedicación a su país” – Adriano Correia Silva</w:t>
      </w:r>
    </w:p>
    <w:p w14:paraId="5C57DBF8" w14:textId="189BE8C8" w:rsidR="00462844" w:rsidRPr="00462844" w:rsidRDefault="00462844" w:rsidP="00462844">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19E9F13"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En la sociedad de masas, que todavía es la nuestra, donde cada persona es llevada a verse como un simple engranaje de una máquina mayor, es común que haya una profunda separación entre la personalidad individual y el rol que uno desempeña, como si el desempeño de funciones como empleado o servidor público estuviera exento de los juicios morales normalmente aplicables a otras áreas de la vida. Además, la identidad personal a menudo se confunde por completo con el rol desempeñado, reduciendo al individuo a la condición de agente anónimo dentro de una estructura burocrática, vaciando la riqueza y complejidad de su humanidad.</w:t>
      </w:r>
    </w:p>
    <w:p w14:paraId="55C57743"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2D49578C"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La idea de </w:t>
      </w:r>
      <w:hyperlink r:id="rId13" w:tgtFrame="_blank" w:history="1">
        <w:r w:rsidRPr="00462844">
          <w:rPr>
            <w:rFonts w:ascii="Arial" w:eastAsia="Times New Roman" w:hAnsi="Arial" w:cs="Arial"/>
            <w:color w:val="FC6B01"/>
            <w:kern w:val="0"/>
            <w:sz w:val="27"/>
            <w:szCs w:val="27"/>
            <w:u w:val="single"/>
            <w:lang w:eastAsia="es-UY"/>
            <w14:ligatures w14:val="none"/>
          </w:rPr>
          <w:t>la banalidad del mal</w:t>
        </w:r>
      </w:hyperlink>
      <w:r w:rsidRPr="00462844">
        <w:rPr>
          <w:rFonts w:ascii="Arial" w:eastAsia="Times New Roman" w:hAnsi="Arial" w:cs="Arial"/>
          <w:color w:val="666666"/>
          <w:kern w:val="0"/>
          <w:sz w:val="27"/>
          <w:szCs w:val="27"/>
          <w:lang w:eastAsia="es-UY"/>
          <w14:ligatures w14:val="none"/>
        </w:rPr>
        <w:t> buscaba comprender un tipo de mal que se desprende de las raíces personales -no surge de pasiones intensas o intereses egoístas de quien lo comete- sino de la ausencia de reflexión, siendo practicado por personas que no se realizan como individuos pensantes y que evitan ejercer el juicio, negándose a elegir conscientemente el tipo de persona que desean ser para sí mismos. En este abandono de sí mismo, en esta negligencia interior y disposición a obedecer sin cuestionar, se revela el potencial de un mal sistemático, que va más allá de la capacidad de actuar incluso de los peores individuos, tomando una forma extrema, colectiva, impersonal y destructiva. Éstas siguen siendo nuestras preguntas, creo.</w:t>
      </w:r>
    </w:p>
    <w:p w14:paraId="429AB3F4"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71B05FD0"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IHU – ¿Cuál es el aporte de Kant a la reflexión sobre la obediencia y el uso público de la razón a partir del caso Eichmann?</w:t>
      </w:r>
    </w:p>
    <w:p w14:paraId="1658931F"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 </w:t>
      </w:r>
      <w:hyperlink r:id="rId14" w:tgtFrame="_blank" w:history="1">
        <w:r w:rsidRPr="00462844">
          <w:rPr>
            <w:rFonts w:ascii="Arial" w:eastAsia="Times New Roman" w:hAnsi="Arial" w:cs="Arial"/>
            <w:color w:val="FC6B01"/>
            <w:kern w:val="0"/>
            <w:sz w:val="27"/>
            <w:szCs w:val="27"/>
            <w:u w:val="single"/>
            <w:lang w:eastAsia="es-UY"/>
            <w14:ligatures w14:val="none"/>
          </w:rPr>
          <w:t>Kant</w:t>
        </w:r>
      </w:hyperlink>
      <w:r w:rsidRPr="00462844">
        <w:rPr>
          <w:rFonts w:ascii="Arial" w:eastAsia="Times New Roman" w:hAnsi="Arial" w:cs="Arial"/>
          <w:color w:val="666666"/>
          <w:kern w:val="0"/>
          <w:sz w:val="27"/>
          <w:szCs w:val="27"/>
          <w:lang w:eastAsia="es-UY"/>
          <w14:ligatures w14:val="none"/>
        </w:rPr>
        <w:t>  (3) argumentó que la capacidad misma de pensar depende de su manifestación pública; Sin la “prueba del examen libre y abierto” no habría verdadero pensamiento ni legítima formación de opiniones. Este tipo de examen, que exige que cada uno responda de sus propias ideas, tiene raíces políticas que se remontan a </w:t>
      </w:r>
      <w:hyperlink r:id="rId15" w:tgtFrame="_blank" w:history="1">
        <w:r w:rsidRPr="00462844">
          <w:rPr>
            <w:rFonts w:ascii="Arial" w:eastAsia="Times New Roman" w:hAnsi="Arial" w:cs="Arial"/>
            <w:color w:val="FC6B01"/>
            <w:kern w:val="0"/>
            <w:sz w:val="27"/>
            <w:szCs w:val="27"/>
            <w:u w:val="single"/>
            <w:lang w:eastAsia="es-UY"/>
            <w14:ligatures w14:val="none"/>
          </w:rPr>
          <w:t>la antigua Grecia</w:t>
        </w:r>
      </w:hyperlink>
      <w:r w:rsidRPr="00462844">
        <w:rPr>
          <w:rFonts w:ascii="Arial" w:eastAsia="Times New Roman" w:hAnsi="Arial" w:cs="Arial"/>
          <w:color w:val="666666"/>
          <w:kern w:val="0"/>
          <w:sz w:val="27"/>
          <w:szCs w:val="27"/>
          <w:lang w:eastAsia="es-UY"/>
          <w14:ligatures w14:val="none"/>
        </w:rPr>
        <w:t> y, para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 conlleva implicaciones políticas ineludibles, ya que se opone esencialmente a cualquier forma de autoridad impuesta.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creía que la Ilustración (</w:t>
      </w:r>
      <w:proofErr w:type="spellStart"/>
      <w:r w:rsidRPr="00462844">
        <w:rPr>
          <w:rFonts w:ascii="Arial" w:eastAsia="Times New Roman" w:hAnsi="Arial" w:cs="Arial"/>
          <w:color w:val="666666"/>
          <w:kern w:val="0"/>
          <w:sz w:val="27"/>
          <w:szCs w:val="27"/>
          <w:lang w:eastAsia="es-UY"/>
          <w14:ligatures w14:val="none"/>
        </w:rPr>
        <w:t>Aufklärung</w:t>
      </w:r>
      <w:proofErr w:type="spellEnd"/>
      <w:r w:rsidRPr="00462844">
        <w:rPr>
          <w:rFonts w:ascii="Arial" w:eastAsia="Times New Roman" w:hAnsi="Arial" w:cs="Arial"/>
          <w:color w:val="666666"/>
          <w:kern w:val="0"/>
          <w:sz w:val="27"/>
          <w:szCs w:val="27"/>
          <w:lang w:eastAsia="es-UY"/>
          <w14:ligatures w14:val="none"/>
        </w:rPr>
        <w:t xml:space="preserve">) sólo </w:t>
      </w:r>
      <w:r w:rsidRPr="00462844">
        <w:rPr>
          <w:rFonts w:ascii="Arial" w:eastAsia="Times New Roman" w:hAnsi="Arial" w:cs="Arial"/>
          <w:color w:val="666666"/>
          <w:kern w:val="0"/>
          <w:sz w:val="27"/>
          <w:szCs w:val="27"/>
          <w:lang w:eastAsia="es-UY"/>
          <w14:ligatures w14:val="none"/>
        </w:rPr>
        <w:lastRenderedPageBreak/>
        <w:t>avanzaría en la medida en que el pensamiento, incluido el más filosófico, fuera ampliamente compartido. Sin embargo,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señaló que la libertad de expresión y de publicación que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ensalzaba —a la que llamaba “la libertad política más importante” pero también “la más inofensiva”— era de hecho la libertad del erudito, no del ciudadano común. El público al que se dirigía este estudioso tampoco era el colectivo político, sino un público global de lectores cultos, capaces de dialogar con el especialista en su campo. Así, el “uso público de la razón” kantiano se dirigía a un público restringido, muy diferente de la noción de pensamiento crítico abierto a cualquiera, tal como la concibió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 más inspirada en </w:t>
      </w:r>
      <w:r w:rsidRPr="00462844">
        <w:rPr>
          <w:rFonts w:ascii="Arial" w:eastAsia="Times New Roman" w:hAnsi="Arial" w:cs="Arial"/>
          <w:b/>
          <w:bCs/>
          <w:color w:val="666666"/>
          <w:kern w:val="0"/>
          <w:sz w:val="27"/>
          <w:szCs w:val="27"/>
          <w:lang w:eastAsia="es-UY"/>
          <w14:ligatures w14:val="none"/>
        </w:rPr>
        <w:t>Sócrates</w:t>
      </w:r>
      <w:r w:rsidRPr="00462844">
        <w:rPr>
          <w:rFonts w:ascii="Arial" w:eastAsia="Times New Roman" w:hAnsi="Arial" w:cs="Arial"/>
          <w:color w:val="666666"/>
          <w:kern w:val="0"/>
          <w:sz w:val="27"/>
          <w:szCs w:val="27"/>
          <w:lang w:eastAsia="es-UY"/>
          <w14:ligatures w14:val="none"/>
        </w:rPr>
        <w:t> (4) que en el propio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w:t>
      </w:r>
    </w:p>
    <w:p w14:paraId="5D69F003"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5F10B6BF"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definió la minoría como la situación en la que alguien permanece bajo la guía de otra persona debido a una falta de iniciativa y coraje para utilizar su propio entendimiento, a menudo motivada por la pereza o la comodidad de esta dependencia. Frente a esto, propuso, curiosamente en forma de mandato, “ </w:t>
      </w:r>
      <w:r w:rsidRPr="00462844">
        <w:rPr>
          <w:rFonts w:ascii="Arial" w:eastAsia="Times New Roman" w:hAnsi="Arial" w:cs="Arial"/>
          <w:i/>
          <w:iCs/>
          <w:color w:val="666666"/>
          <w:kern w:val="0"/>
          <w:sz w:val="27"/>
          <w:szCs w:val="27"/>
          <w:lang w:eastAsia="es-UY"/>
          <w14:ligatures w14:val="none"/>
        </w:rPr>
        <w:t xml:space="preserve">Sapere </w:t>
      </w:r>
      <w:proofErr w:type="spellStart"/>
      <w:r w:rsidRPr="00462844">
        <w:rPr>
          <w:rFonts w:ascii="Arial" w:eastAsia="Times New Roman" w:hAnsi="Arial" w:cs="Arial"/>
          <w:i/>
          <w:iCs/>
          <w:color w:val="666666"/>
          <w:kern w:val="0"/>
          <w:sz w:val="27"/>
          <w:szCs w:val="27"/>
          <w:lang w:eastAsia="es-UY"/>
          <w14:ligatures w14:val="none"/>
        </w:rPr>
        <w:t>aude</w:t>
      </w:r>
      <w:proofErr w:type="spellEnd"/>
      <w:r w:rsidRPr="00462844">
        <w:rPr>
          <w:rFonts w:ascii="Arial" w:eastAsia="Times New Roman" w:hAnsi="Arial" w:cs="Arial"/>
          <w:color w:val="666666"/>
          <w:kern w:val="0"/>
          <w:sz w:val="27"/>
          <w:szCs w:val="27"/>
          <w:lang w:eastAsia="es-UY"/>
          <w14:ligatures w14:val="none"/>
        </w:rPr>
        <w:t> ” –atreverse a saber–, fomentando el uso autónomo de la razón. Según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 esta disposición crítica a pensar por uno mismo está en el corazón de lo que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entendió como la Ilustración.</w:t>
      </w:r>
    </w:p>
    <w:p w14:paraId="0B2294A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1F3F96DA" w14:textId="77777777" w:rsidR="00462844" w:rsidRPr="00462844" w:rsidRDefault="00462844" w:rsidP="00462844">
      <w:pPr>
        <w:spacing w:after="0" w:line="240" w:lineRule="auto"/>
        <w:jc w:val="both"/>
        <w:outlineLvl w:val="1"/>
        <w:rPr>
          <w:rFonts w:ascii="Arial" w:eastAsia="Times New Roman" w:hAnsi="Arial" w:cs="Arial"/>
          <w:b/>
          <w:bCs/>
          <w:color w:val="000000"/>
          <w:kern w:val="0"/>
          <w:sz w:val="36"/>
          <w:szCs w:val="36"/>
          <w:lang w:eastAsia="es-UY"/>
          <w14:ligatures w14:val="none"/>
        </w:rPr>
      </w:pPr>
      <w:r w:rsidRPr="00462844">
        <w:rPr>
          <w:rFonts w:ascii="Arial" w:eastAsia="Times New Roman" w:hAnsi="Arial" w:cs="Arial"/>
          <w:b/>
          <w:bCs/>
          <w:color w:val="000000"/>
          <w:kern w:val="0"/>
          <w:sz w:val="36"/>
          <w:szCs w:val="36"/>
          <w:lang w:eastAsia="es-UY"/>
          <w14:ligatures w14:val="none"/>
        </w:rPr>
        <w:t>Falta de razonamiento como minoría</w:t>
      </w:r>
    </w:p>
    <w:p w14:paraId="658AFE63"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Foucault</w:t>
      </w:r>
      <w:r w:rsidRPr="00462844">
        <w:rPr>
          <w:rFonts w:ascii="Arial" w:eastAsia="Times New Roman" w:hAnsi="Arial" w:cs="Arial"/>
          <w:color w:val="666666"/>
          <w:kern w:val="0"/>
          <w:sz w:val="27"/>
          <w:szCs w:val="27"/>
          <w:lang w:eastAsia="es-UY"/>
          <w14:ligatures w14:val="none"/>
        </w:rPr>
        <w:t> (5), al analizar </w:t>
      </w:r>
      <w:r w:rsidRPr="00462844">
        <w:rPr>
          <w:rFonts w:ascii="Arial" w:eastAsia="Times New Roman" w:hAnsi="Arial" w:cs="Arial"/>
          <w:b/>
          <w:bCs/>
          <w:color w:val="666666"/>
          <w:kern w:val="0"/>
          <w:sz w:val="27"/>
          <w:szCs w:val="27"/>
          <w:lang w:eastAsia="es-UY"/>
          <w14:ligatures w14:val="none"/>
        </w:rPr>
        <w:t>a Kant</w:t>
      </w:r>
      <w:r w:rsidRPr="00462844">
        <w:rPr>
          <w:rFonts w:ascii="Arial" w:eastAsia="Times New Roman" w:hAnsi="Arial" w:cs="Arial"/>
          <w:color w:val="666666"/>
          <w:kern w:val="0"/>
          <w:sz w:val="27"/>
          <w:szCs w:val="27"/>
          <w:lang w:eastAsia="es-UY"/>
          <w14:ligatures w14:val="none"/>
        </w:rPr>
        <w:t> , destacó que este estado de minoría se sustentaba en dos pares impropios e ilegítimos. La primera es la asociación entre la obediencia y la ausencia de razonamiento, una idea que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rechazó cuando afirmó que es posible pensar libremente sin dejar de obedecer. La segunda es la confusión entre el ámbito privado y el público, que deberían estar claramente separados. La frase de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 “razona tanto como quieras y sobre lo que quieras; pero obedece”, atribuida a </w:t>
      </w:r>
      <w:hyperlink r:id="rId16" w:tgtFrame="_blank" w:history="1">
        <w:r w:rsidRPr="00462844">
          <w:rPr>
            <w:rFonts w:ascii="Arial" w:eastAsia="Times New Roman" w:hAnsi="Arial" w:cs="Arial"/>
            <w:color w:val="FC6B01"/>
            <w:kern w:val="0"/>
            <w:sz w:val="27"/>
            <w:szCs w:val="27"/>
            <w:u w:val="single"/>
            <w:lang w:eastAsia="es-UY"/>
            <w14:ligatures w14:val="none"/>
          </w:rPr>
          <w:t>Federico de Prusia</w:t>
        </w:r>
      </w:hyperlink>
      <w:r w:rsidRPr="00462844">
        <w:rPr>
          <w:rFonts w:ascii="Arial" w:eastAsia="Times New Roman" w:hAnsi="Arial" w:cs="Arial"/>
          <w:color w:val="666666"/>
          <w:kern w:val="0"/>
          <w:sz w:val="27"/>
          <w:szCs w:val="27"/>
          <w:lang w:eastAsia="es-UY"/>
          <w14:ligatures w14:val="none"/>
        </w:rPr>
        <w:t> , pone de relieve esta separación y sólo podía sostenerse, según </w:t>
      </w:r>
      <w:hyperlink r:id="rId17" w:tgtFrame="_blank" w:history="1">
        <w:r w:rsidRPr="00462844">
          <w:rPr>
            <w:rFonts w:ascii="Arial" w:eastAsia="Times New Roman" w:hAnsi="Arial" w:cs="Arial"/>
            <w:color w:val="FC6B01"/>
            <w:kern w:val="0"/>
            <w:sz w:val="27"/>
            <w:szCs w:val="27"/>
            <w:u w:val="single"/>
            <w:lang w:eastAsia="es-UY"/>
            <w14:ligatures w14:val="none"/>
          </w:rPr>
          <w:t>Foucault</w:t>
        </w:r>
      </w:hyperlink>
      <w:r w:rsidRPr="00462844">
        <w:rPr>
          <w:rFonts w:ascii="Arial" w:eastAsia="Times New Roman" w:hAnsi="Arial" w:cs="Arial"/>
          <w:color w:val="666666"/>
          <w:kern w:val="0"/>
          <w:sz w:val="27"/>
          <w:szCs w:val="27"/>
          <w:lang w:eastAsia="es-UY"/>
          <w14:ligatures w14:val="none"/>
        </w:rPr>
        <w:t> , porque el rey contaba con un ejército disciplinado y poderoso para garantizar el orden.</w:t>
      </w:r>
    </w:p>
    <w:p w14:paraId="55654CF3"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204E09F6"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Quienes ejercen funciones públicas, como los soldados, deben obedecer las órdenes que reciben sin cuestionarlas, ya que su papel requiere total sumisión. Sin embargo, como expertos, tienen derecho –siempre que ello no interfiera con el desempeño de sus funciones– a dirigirse por escrito a un público igualmente especializado para hacer observaciones técnicas y proponer mejoras al servicio. El punto clave es que la obediencia no debe confundirse con una falta de pensamiento crítico; La ausencia de razonamiento, y no la presencia de obediencia, es lo que caracteriza a la minoría.</w:t>
      </w:r>
    </w:p>
    <w:p w14:paraId="56436A1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6CE0EEB7" w14:textId="77777777" w:rsidR="00462844" w:rsidRPr="00462844" w:rsidRDefault="00462844" w:rsidP="00462844">
      <w:pPr>
        <w:spacing w:after="0" w:line="240" w:lineRule="auto"/>
        <w:jc w:val="both"/>
        <w:outlineLvl w:val="1"/>
        <w:rPr>
          <w:rFonts w:ascii="Arial" w:eastAsia="Times New Roman" w:hAnsi="Arial" w:cs="Arial"/>
          <w:b/>
          <w:bCs/>
          <w:color w:val="000000"/>
          <w:kern w:val="0"/>
          <w:sz w:val="36"/>
          <w:szCs w:val="36"/>
          <w:lang w:eastAsia="es-UY"/>
          <w14:ligatures w14:val="none"/>
        </w:rPr>
      </w:pPr>
      <w:r w:rsidRPr="00462844">
        <w:rPr>
          <w:rFonts w:ascii="Arial" w:eastAsia="Times New Roman" w:hAnsi="Arial" w:cs="Arial"/>
          <w:b/>
          <w:bCs/>
          <w:color w:val="000000"/>
          <w:kern w:val="0"/>
          <w:sz w:val="36"/>
          <w:szCs w:val="36"/>
          <w:lang w:eastAsia="es-UY"/>
          <w14:ligatures w14:val="none"/>
        </w:rPr>
        <w:t>Mayoría y libertad de pensamiento</w:t>
      </w:r>
    </w:p>
    <w:p w14:paraId="0C32E635"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La edad adulta, por otra parte, no está asociada con la negativa a obedecer –ya que no se hace una elección–, sino con la capacidad de pensar técnicamente sobre cómo mejorar los aspectos operativos y administrativos del propio rol, ya sea burocrático, militar, religioso o judicial. El uso público de la razón, como ejercicio del pensamiento técnico, no compromete en modo alguno el deber de obedecer; Por el contrario, como observa </w:t>
      </w:r>
      <w:r w:rsidRPr="00462844">
        <w:rPr>
          <w:rFonts w:ascii="Arial" w:eastAsia="Times New Roman" w:hAnsi="Arial" w:cs="Arial"/>
          <w:b/>
          <w:bCs/>
          <w:color w:val="666666"/>
          <w:kern w:val="0"/>
          <w:sz w:val="27"/>
          <w:szCs w:val="27"/>
          <w:lang w:eastAsia="es-UY"/>
          <w14:ligatures w14:val="none"/>
        </w:rPr>
        <w:t>Foucault</w:t>
      </w:r>
      <w:r w:rsidRPr="00462844">
        <w:rPr>
          <w:rFonts w:ascii="Arial" w:eastAsia="Times New Roman" w:hAnsi="Arial" w:cs="Arial"/>
          <w:color w:val="666666"/>
          <w:kern w:val="0"/>
          <w:sz w:val="27"/>
          <w:szCs w:val="27"/>
          <w:lang w:eastAsia="es-UY"/>
          <w14:ligatures w14:val="none"/>
        </w:rPr>
        <w:t> basándose en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xml:space="preserve"> , </w:t>
      </w:r>
      <w:proofErr w:type="gramStart"/>
      <w:r w:rsidRPr="00462844">
        <w:rPr>
          <w:rFonts w:ascii="Arial" w:eastAsia="Times New Roman" w:hAnsi="Arial" w:cs="Arial"/>
          <w:color w:val="666666"/>
          <w:kern w:val="0"/>
          <w:sz w:val="27"/>
          <w:szCs w:val="27"/>
          <w:lang w:eastAsia="es-UY"/>
          <w14:ligatures w14:val="none"/>
        </w:rPr>
        <w:t>cuanto más libertad</w:t>
      </w:r>
      <w:proofErr w:type="gramEnd"/>
      <w:r w:rsidRPr="00462844">
        <w:rPr>
          <w:rFonts w:ascii="Arial" w:eastAsia="Times New Roman" w:hAnsi="Arial" w:cs="Arial"/>
          <w:color w:val="666666"/>
          <w:kern w:val="0"/>
          <w:sz w:val="27"/>
          <w:szCs w:val="27"/>
          <w:lang w:eastAsia="es-UY"/>
          <w14:ligatures w14:val="none"/>
        </w:rPr>
        <w:t xml:space="preserve"> se le da al pensamiento, más se fortalece la disposición a obedecer, pues el razonamiento reforzaría la percepción de la necesidad de obediencia.</w:t>
      </w:r>
    </w:p>
    <w:p w14:paraId="17B63F52" w14:textId="77777777" w:rsidR="00462844" w:rsidRPr="00462844" w:rsidRDefault="00462844" w:rsidP="0046284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462844">
        <w:rPr>
          <w:rFonts w:ascii="Arial" w:eastAsia="Times New Roman" w:hAnsi="Arial" w:cs="Arial"/>
          <w:b/>
          <w:bCs/>
          <w:i/>
          <w:iCs/>
          <w:color w:val="BF4E14" w:themeColor="accent2" w:themeShade="BF"/>
          <w:kern w:val="0"/>
          <w:sz w:val="27"/>
          <w:szCs w:val="27"/>
          <w:lang w:eastAsia="es-UY"/>
          <w14:ligatures w14:val="none"/>
        </w:rPr>
        <w:t>“Parecía inaceptable que alguien que colaboró ​​con el exterminio (…) no pudiera identificarse como antisemita —ni siquiera en textos escritos antes de ser juzgado— sin que esto se interpretara como una farsa o una puesta en escena” – Adriano Correia Silva</w:t>
      </w:r>
    </w:p>
    <w:p w14:paraId="45A7EBE1" w14:textId="734A58F5" w:rsidR="00462844" w:rsidRPr="00462844" w:rsidRDefault="00462844" w:rsidP="00462844">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5610EE54"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Así, la edad adulta no impide el celoso cumplimiento de las órdenes por parte de los funcionarios o militares, pero los hace capaces de colaborar intelectualmente al perfeccionamiento de las funciones que desempeñan. Surge entonces la inquietante pregunta: ¿qué sería si </w:t>
      </w:r>
      <w:r w:rsidRPr="00462844">
        <w:rPr>
          <w:rFonts w:ascii="Arial" w:eastAsia="Times New Roman" w:hAnsi="Arial" w:cs="Arial"/>
          <w:b/>
          <w:bCs/>
          <w:color w:val="666666"/>
          <w:kern w:val="0"/>
          <w:sz w:val="27"/>
          <w:szCs w:val="27"/>
          <w:lang w:eastAsia="es-UY"/>
          <w14:ligatures w14:val="none"/>
        </w:rPr>
        <w:t>Eichmann</w:t>
      </w:r>
      <w:r w:rsidRPr="00462844">
        <w:rPr>
          <w:rFonts w:ascii="Arial" w:eastAsia="Times New Roman" w:hAnsi="Arial" w:cs="Arial"/>
          <w:color w:val="666666"/>
          <w:kern w:val="0"/>
          <w:sz w:val="27"/>
          <w:szCs w:val="27"/>
          <w:lang w:eastAsia="es-UY"/>
          <w14:ligatures w14:val="none"/>
        </w:rPr>
        <w:t> hubiera ejercido el uso público de la razón? Como funcionario responsable de la logística de las deportaciones a los campos de exterminio, nunca podría desobedecer órdenes, pero, como técnico o especialista, podría dirigirse al público culto para proponer mejoras en su actividad, así como un oficial señala las fallas del servicio militar a su público sin comprometer su obediencia.</w:t>
      </w:r>
    </w:p>
    <w:p w14:paraId="6EB669C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6293F351"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Pienso que es esta centralidad de la noción de obediencia y la prohibición de toda rebelión contra las órdenes más arbitrarias provenientes del soberano lo que llevó </w:t>
      </w:r>
      <w:r w:rsidRPr="00462844">
        <w:rPr>
          <w:rFonts w:ascii="Arial" w:eastAsia="Times New Roman" w:hAnsi="Arial" w:cs="Arial"/>
          <w:b/>
          <w:bCs/>
          <w:color w:val="666666"/>
          <w:kern w:val="0"/>
          <w:sz w:val="27"/>
          <w:szCs w:val="27"/>
          <w:lang w:eastAsia="es-UY"/>
          <w14:ligatures w14:val="none"/>
        </w:rPr>
        <w:t>a Eichmann</w:t>
      </w:r>
      <w:r w:rsidRPr="00462844">
        <w:rPr>
          <w:rFonts w:ascii="Arial" w:eastAsia="Times New Roman" w:hAnsi="Arial" w:cs="Arial"/>
          <w:color w:val="666666"/>
          <w:kern w:val="0"/>
          <w:sz w:val="27"/>
          <w:szCs w:val="27"/>
          <w:lang w:eastAsia="es-UY"/>
          <w14:ligatures w14:val="none"/>
        </w:rPr>
        <w:t> a creer que podía justificar su obediencia ciega como virtud recurriendo, para malestar general, a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 En cualquier caso, el uso público de la razón no parece ser un buen antídoto contra la arbitrariedad de los gobernantes.</w:t>
      </w:r>
    </w:p>
    <w:p w14:paraId="50EEA6D4"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60EA4C5B"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IHU – ¿Qué relevancia tiene este caso para reflexionar sobre la falta de responsabilidad del individuo en una sociedad con creciente interferencia de algoritmos, noticias falsas y creación de enemigos públicos?</w:t>
      </w:r>
    </w:p>
    <w:p w14:paraId="17802869"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xml:space="preserve"> – Creo que la falta de reflexión y el aislamiento de los individuos en nuestra sociedad, combinados con la forma en que las redes sociales conectan a los individuos sin crear un espacio público entre ellos, constituyen los elementos centrales de la susceptibilidad de </w:t>
      </w:r>
      <w:r w:rsidRPr="00462844">
        <w:rPr>
          <w:rFonts w:ascii="Arial" w:eastAsia="Times New Roman" w:hAnsi="Arial" w:cs="Arial"/>
          <w:color w:val="666666"/>
          <w:kern w:val="0"/>
          <w:sz w:val="27"/>
          <w:szCs w:val="27"/>
          <w:lang w:eastAsia="es-UY"/>
          <w14:ligatures w14:val="none"/>
        </w:rPr>
        <w:lastRenderedPageBreak/>
        <w:t>los individuos a los discursos conspirativos movilizados por fábricas de mentiras concebidas por diversos grupos de interés. Estoy de acuerdo con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cuando sostiene que lo que explica la susceptibilidad de las masas a este escape de la realidad es su pérdida de un lugar en el mundo y su atomización, su pérdida de estatus social y de relaciones comunitarias en las que el sentido común tiene sentido. Este desarraigo y aislamiento están presupuestos en las mentiras difundidas por la propaganda, que juega con el aislamiento de las masas para insertarlas en el “realismo superior” que revela a través de la propaganda todos los aspectos de la vida social y política que supuestamente estaban siendo ocultados.</w:t>
      </w:r>
    </w:p>
    <w:p w14:paraId="2A9B0675" w14:textId="77777777" w:rsidR="00462844" w:rsidRPr="00462844" w:rsidRDefault="00462844" w:rsidP="0046284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462844">
        <w:rPr>
          <w:rFonts w:ascii="Arial" w:eastAsia="Times New Roman" w:hAnsi="Arial" w:cs="Arial"/>
          <w:b/>
          <w:bCs/>
          <w:i/>
          <w:iCs/>
          <w:color w:val="BF4E14" w:themeColor="accent2" w:themeShade="BF"/>
          <w:kern w:val="0"/>
          <w:sz w:val="27"/>
          <w:szCs w:val="27"/>
          <w:lang w:eastAsia="es-UY"/>
          <w14:ligatures w14:val="none"/>
        </w:rPr>
        <w:t>“Los peores transgresores son aquellos que ignoran estos límites, que no piensan y, por lo tanto, no crean profundidad ni raíces; se dejan llevar fácilmente por los acontecimientos, ya sea por el espíritu de la época, por la Historia o por meras tentaciones” – Adriano Correia Silva</w:t>
      </w:r>
    </w:p>
    <w:p w14:paraId="185386D4" w14:textId="6E82F82B" w:rsidR="00462844" w:rsidRPr="00462844" w:rsidRDefault="00462844" w:rsidP="00462844">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57684210"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Con estrategias de propaganda, la fabricación deliberada de mentiras y la elección de enemigos comunes, se promueve la creación de una realidad paralela efectiva, cuya articulación es bastante volátil y pretende producir una mezcla de credulidad y cinismo que socave la propia realidad común. El proceso de formación de una opinión en la vida política se produce a través del desarrollo de nuestra capacidad de, mediante la imaginación, representar la posición de otras personas que tienen perspectivas diferentes. Este carácter perspectivo de la formación de la opinión presupone que hay algo en común que se ve de maneras diferentes, y que estos diferentes puntos de vista se corrigen mutuamente y permiten establecer acuerdos más o menos generales sobre lo que es la realidad del mundo, que es tanto más rica cuanto más compartida. La producción de individuos atomizados que participan en redes y que son al mismo tiempo consumidores de discursos prefabricados envenena y arruina el debate público.</w:t>
      </w:r>
    </w:p>
    <w:p w14:paraId="4D6BA963"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55BB51D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IHU – ¿Cómo analiza el resurgimiento del neofascismo a través de la profundización del neoliberalismo? ¿</w:t>
      </w:r>
      <w:proofErr w:type="spellStart"/>
      <w:r w:rsidRPr="00462844">
        <w:rPr>
          <w:rFonts w:ascii="Arial" w:eastAsia="Times New Roman" w:hAnsi="Arial" w:cs="Arial"/>
          <w:b/>
          <w:bCs/>
          <w:color w:val="666666"/>
          <w:kern w:val="0"/>
          <w:sz w:val="27"/>
          <w:szCs w:val="27"/>
          <w:lang w:eastAsia="es-UY"/>
          <w14:ligatures w14:val="none"/>
        </w:rPr>
        <w:t>Cuales</w:t>
      </w:r>
      <w:proofErr w:type="spellEnd"/>
      <w:r w:rsidRPr="00462844">
        <w:rPr>
          <w:rFonts w:ascii="Arial" w:eastAsia="Times New Roman" w:hAnsi="Arial" w:cs="Arial"/>
          <w:b/>
          <w:bCs/>
          <w:color w:val="666666"/>
          <w:kern w:val="0"/>
          <w:sz w:val="27"/>
          <w:szCs w:val="27"/>
          <w:lang w:eastAsia="es-UY"/>
          <w14:ligatures w14:val="none"/>
        </w:rPr>
        <w:t xml:space="preserve"> son las posibles conexiones?</w:t>
      </w:r>
    </w:p>
    <w:p w14:paraId="0E400392"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 Creo que el neoliberalismo lleva al paroxismo lo que astutamente señaló </w:t>
      </w:r>
      <w:r w:rsidRPr="00462844">
        <w:rPr>
          <w:rFonts w:ascii="Arial" w:eastAsia="Times New Roman" w:hAnsi="Arial" w:cs="Arial"/>
          <w:b/>
          <w:bCs/>
          <w:color w:val="666666"/>
          <w:kern w:val="0"/>
          <w:sz w:val="27"/>
          <w:szCs w:val="27"/>
          <w:lang w:eastAsia="es-UY"/>
          <w14:ligatures w14:val="none"/>
        </w:rPr>
        <w:t>Michel Foucault</w:t>
      </w:r>
      <w:r w:rsidRPr="00462844">
        <w:rPr>
          <w:rFonts w:ascii="Arial" w:eastAsia="Times New Roman" w:hAnsi="Arial" w:cs="Arial"/>
          <w:color w:val="666666"/>
          <w:kern w:val="0"/>
          <w:sz w:val="27"/>
          <w:szCs w:val="27"/>
          <w:lang w:eastAsia="es-UY"/>
          <w14:ligatures w14:val="none"/>
        </w:rPr>
        <w:t> : el individuo egoísta, acumulador y presunto firmante de los contratos que fundaron las comunidades políticas, no deja de ser el agente económico egoísta y calculador que se supone que fue en un imaginado estado de naturaleza. Este individuo que termina convirtiéndose formalmente en ciudadano no tiene ningún compromiso con </w:t>
      </w:r>
      <w:hyperlink r:id="rId18" w:tgtFrame="_blank" w:history="1">
        <w:r w:rsidRPr="00462844">
          <w:rPr>
            <w:rFonts w:ascii="Arial" w:eastAsia="Times New Roman" w:hAnsi="Arial" w:cs="Arial"/>
            <w:color w:val="FC6B01"/>
            <w:kern w:val="0"/>
            <w:sz w:val="27"/>
            <w:szCs w:val="27"/>
            <w:u w:val="single"/>
            <w:lang w:eastAsia="es-UY"/>
            <w14:ligatures w14:val="none"/>
          </w:rPr>
          <w:t>la libertad política</w:t>
        </w:r>
      </w:hyperlink>
      <w:r w:rsidRPr="00462844">
        <w:rPr>
          <w:rFonts w:ascii="Arial" w:eastAsia="Times New Roman" w:hAnsi="Arial" w:cs="Arial"/>
          <w:color w:val="666666"/>
          <w:kern w:val="0"/>
          <w:sz w:val="27"/>
          <w:szCs w:val="27"/>
          <w:lang w:eastAsia="es-UY"/>
          <w14:ligatures w14:val="none"/>
        </w:rPr>
        <w:t xml:space="preserve"> en el sentido de participar en asuntos comunes. Para él, la política sigue </w:t>
      </w:r>
      <w:r w:rsidRPr="00462844">
        <w:rPr>
          <w:rFonts w:ascii="Arial" w:eastAsia="Times New Roman" w:hAnsi="Arial" w:cs="Arial"/>
          <w:color w:val="666666"/>
          <w:kern w:val="0"/>
          <w:sz w:val="27"/>
          <w:szCs w:val="27"/>
          <w:lang w:eastAsia="es-UY"/>
          <w14:ligatures w14:val="none"/>
        </w:rPr>
        <w:lastRenderedPageBreak/>
        <w:t>siendo un mal necesario y el Estado no debería ser mucho más que una fuerza policial bien organizada. El liberalismo, sin embargo, se estableció con la soberanía moderna y su pretensión de dominio potencialmente ilimitado como su antagonista y precisamente por eso creyó que la política parlamentaria y representativa era indispensable para la vigilancia constante contra el Estado y su expansión con el fin de preservar las libertades económicas, civiles y políticas.</w:t>
      </w:r>
    </w:p>
    <w:p w14:paraId="6E893D19"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48D5B6AE"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El defecto original del neoliberalismo es su desconexión de cualquier forma de libertad política y sus vínculos con regímenes autoritarios como el de </w:t>
      </w:r>
      <w:hyperlink r:id="rId19" w:tgtFrame="_blank" w:history="1">
        <w:r w:rsidRPr="00462844">
          <w:rPr>
            <w:rFonts w:ascii="Arial" w:eastAsia="Times New Roman" w:hAnsi="Arial" w:cs="Arial"/>
            <w:color w:val="FC6B01"/>
            <w:kern w:val="0"/>
            <w:sz w:val="27"/>
            <w:szCs w:val="27"/>
            <w:u w:val="single"/>
            <w:lang w:eastAsia="es-UY"/>
            <w14:ligatures w14:val="none"/>
          </w:rPr>
          <w:t>Pinochet</w:t>
        </w:r>
      </w:hyperlink>
      <w:r w:rsidRPr="00462844">
        <w:rPr>
          <w:rFonts w:ascii="Arial" w:eastAsia="Times New Roman" w:hAnsi="Arial" w:cs="Arial"/>
          <w:color w:val="666666"/>
          <w:kern w:val="0"/>
          <w:sz w:val="27"/>
          <w:szCs w:val="27"/>
          <w:lang w:eastAsia="es-UY"/>
          <w14:ligatures w14:val="none"/>
        </w:rPr>
        <w:t>  en Chile. Se entiende que la política es un mal potencialmente innecesario si es posible asegurar un ambiente mínimo de estabilidad para que el agente económico pueda establecer la competencia que haga significativa su existencia. Creo que existe una estrecha conexión entre la voracidad neoliberal contra los derechos civiles, políticos y laborales y la inducción sistemática de crisis que conducen a un comportamiento inflamado y a un apoyo apasionado a ciertos grupos. Existe algo así como un estímulo a la conducta pandillera que pretende socavar todo el marco institucional de la política liberal burguesa, así como los derechos conseguidos en las luchas políticas libradas por las clases populares durante los dos últimos siglos. En este sentido, creo que sí hay una conexión entre </w:t>
      </w:r>
      <w:hyperlink r:id="rId20" w:tgtFrame="_blank" w:history="1">
        <w:r w:rsidRPr="00462844">
          <w:rPr>
            <w:rFonts w:ascii="Arial" w:eastAsia="Times New Roman" w:hAnsi="Arial" w:cs="Arial"/>
            <w:color w:val="FC6B01"/>
            <w:kern w:val="0"/>
            <w:sz w:val="27"/>
            <w:szCs w:val="27"/>
            <w:u w:val="single"/>
            <w:lang w:eastAsia="es-UY"/>
            <w14:ligatures w14:val="none"/>
          </w:rPr>
          <w:t>el neofascismo y el neoliberalismo</w:t>
        </w:r>
      </w:hyperlink>
      <w:r w:rsidRPr="00462844">
        <w:rPr>
          <w:rFonts w:ascii="Arial" w:eastAsia="Times New Roman" w:hAnsi="Arial" w:cs="Arial"/>
          <w:color w:val="666666"/>
          <w:kern w:val="0"/>
          <w:sz w:val="27"/>
          <w:szCs w:val="27"/>
          <w:lang w:eastAsia="es-UY"/>
          <w14:ligatures w14:val="none"/>
        </w:rPr>
        <w:t> , en la medida en que el primero desmantela las estructuras estatales que son combatidas por el segundo. El comportamiento inducido por las redes sociales no parece dejar muchas dudas de que existe un proyecto deliberado para crear sistemáticamente división y crisis.</w:t>
      </w:r>
    </w:p>
    <w:p w14:paraId="08B3487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49CE055B"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 xml:space="preserve">IHU – Con la llegada de Trump al poder se consolida el imperio de los tecnócratas que con él conforman el gobierno de Estados Unidos. En este escenario, parece que las figuras del homo </w:t>
      </w:r>
      <w:proofErr w:type="spellStart"/>
      <w:r w:rsidRPr="00462844">
        <w:rPr>
          <w:rFonts w:ascii="Arial" w:eastAsia="Times New Roman" w:hAnsi="Arial" w:cs="Arial"/>
          <w:b/>
          <w:bCs/>
          <w:color w:val="666666"/>
          <w:kern w:val="0"/>
          <w:sz w:val="27"/>
          <w:szCs w:val="27"/>
          <w:lang w:eastAsia="es-UY"/>
          <w14:ligatures w14:val="none"/>
        </w:rPr>
        <w:t>oeconomicus</w:t>
      </w:r>
      <w:proofErr w:type="spellEnd"/>
      <w:r w:rsidRPr="00462844">
        <w:rPr>
          <w:rFonts w:ascii="Arial" w:eastAsia="Times New Roman" w:hAnsi="Arial" w:cs="Arial"/>
          <w:b/>
          <w:bCs/>
          <w:color w:val="666666"/>
          <w:kern w:val="0"/>
          <w:sz w:val="27"/>
          <w:szCs w:val="27"/>
          <w:lang w:eastAsia="es-UY"/>
          <w14:ligatures w14:val="none"/>
        </w:rPr>
        <w:t xml:space="preserve"> de Foucault y del animal </w:t>
      </w:r>
      <w:proofErr w:type="spellStart"/>
      <w:r w:rsidRPr="00462844">
        <w:rPr>
          <w:rFonts w:ascii="Arial" w:eastAsia="Times New Roman" w:hAnsi="Arial" w:cs="Arial"/>
          <w:b/>
          <w:bCs/>
          <w:color w:val="666666"/>
          <w:kern w:val="0"/>
          <w:sz w:val="27"/>
          <w:szCs w:val="27"/>
          <w:lang w:eastAsia="es-UY"/>
          <w14:ligatures w14:val="none"/>
        </w:rPr>
        <w:t>laborans</w:t>
      </w:r>
      <w:proofErr w:type="spellEnd"/>
      <w:r w:rsidRPr="00462844">
        <w:rPr>
          <w:rFonts w:ascii="Arial" w:eastAsia="Times New Roman" w:hAnsi="Arial" w:cs="Arial"/>
          <w:b/>
          <w:bCs/>
          <w:color w:val="666666"/>
          <w:kern w:val="0"/>
          <w:sz w:val="27"/>
          <w:szCs w:val="27"/>
          <w:lang w:eastAsia="es-UY"/>
          <w14:ligatures w14:val="none"/>
        </w:rPr>
        <w:t xml:space="preserve"> de Arendt son cada vez más actuales y corroboran el vaciamiento de la política. ¿</w:t>
      </w:r>
      <w:proofErr w:type="spellStart"/>
      <w:r w:rsidRPr="00462844">
        <w:rPr>
          <w:rFonts w:ascii="Arial" w:eastAsia="Times New Roman" w:hAnsi="Arial" w:cs="Arial"/>
          <w:b/>
          <w:bCs/>
          <w:color w:val="666666"/>
          <w:kern w:val="0"/>
          <w:sz w:val="27"/>
          <w:szCs w:val="27"/>
          <w:lang w:eastAsia="es-UY"/>
          <w14:ligatures w14:val="none"/>
        </w:rPr>
        <w:t>Cual</w:t>
      </w:r>
      <w:proofErr w:type="spellEnd"/>
      <w:r w:rsidRPr="00462844">
        <w:rPr>
          <w:rFonts w:ascii="Arial" w:eastAsia="Times New Roman" w:hAnsi="Arial" w:cs="Arial"/>
          <w:b/>
          <w:bCs/>
          <w:color w:val="666666"/>
          <w:kern w:val="0"/>
          <w:sz w:val="27"/>
          <w:szCs w:val="27"/>
          <w:lang w:eastAsia="es-UY"/>
          <w14:ligatures w14:val="none"/>
        </w:rPr>
        <w:t xml:space="preserve"> es su análisis?</w:t>
      </w:r>
    </w:p>
    <w:p w14:paraId="7FB04D38"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b/>
          <w:bCs/>
          <w:color w:val="666666"/>
          <w:kern w:val="0"/>
          <w:sz w:val="27"/>
          <w:szCs w:val="27"/>
          <w:lang w:eastAsia="es-UY"/>
          <w14:ligatures w14:val="none"/>
        </w:rPr>
        <w:t>Adriano Correia Silva</w:t>
      </w:r>
      <w:r w:rsidRPr="00462844">
        <w:rPr>
          <w:rFonts w:ascii="Arial" w:eastAsia="Times New Roman" w:hAnsi="Arial" w:cs="Arial"/>
          <w:color w:val="666666"/>
          <w:kern w:val="0"/>
          <w:sz w:val="27"/>
          <w:szCs w:val="27"/>
          <w:lang w:eastAsia="es-UY"/>
          <w14:ligatures w14:val="none"/>
        </w:rPr>
        <w:t> – Creo que hay una mezcla enigmática de prevalencia de intereses estrictamente privados y de adhesión apasionada a comportamientos grupales que llevan a los individuos a apoyar iniciativas que sistemáticamente perjudican los intereses privados de esos mismos individuos. El sujeto de interés que fue el </w:t>
      </w:r>
      <w:hyperlink r:id="rId21" w:tgtFrame="_blank" w:history="1">
        <w:r w:rsidRPr="00462844">
          <w:rPr>
            <w:rFonts w:ascii="Arial" w:eastAsia="Times New Roman" w:hAnsi="Arial" w:cs="Arial"/>
            <w:color w:val="FC6B01"/>
            <w:kern w:val="0"/>
            <w:sz w:val="27"/>
            <w:szCs w:val="27"/>
            <w:u w:val="single"/>
            <w:lang w:eastAsia="es-UY"/>
            <w14:ligatures w14:val="none"/>
          </w:rPr>
          <w:t xml:space="preserve">homo </w:t>
        </w:r>
        <w:proofErr w:type="spellStart"/>
        <w:r w:rsidRPr="00462844">
          <w:rPr>
            <w:rFonts w:ascii="Arial" w:eastAsia="Times New Roman" w:hAnsi="Arial" w:cs="Arial"/>
            <w:color w:val="FC6B01"/>
            <w:kern w:val="0"/>
            <w:sz w:val="27"/>
            <w:szCs w:val="27"/>
            <w:u w:val="single"/>
            <w:lang w:eastAsia="es-UY"/>
            <w14:ligatures w14:val="none"/>
          </w:rPr>
          <w:t>oeconomicus</w:t>
        </w:r>
        <w:proofErr w:type="spellEnd"/>
      </w:hyperlink>
      <w:r w:rsidRPr="00462844">
        <w:rPr>
          <w:rFonts w:ascii="Arial" w:eastAsia="Times New Roman" w:hAnsi="Arial" w:cs="Arial"/>
          <w:color w:val="666666"/>
          <w:kern w:val="0"/>
          <w:sz w:val="27"/>
          <w:szCs w:val="27"/>
          <w:lang w:eastAsia="es-UY"/>
          <w14:ligatures w14:val="none"/>
        </w:rPr>
        <w:t>  del liberalismo clásico, tal como lo caracterizó </w:t>
      </w:r>
      <w:r w:rsidRPr="00462844">
        <w:rPr>
          <w:rFonts w:ascii="Arial" w:eastAsia="Times New Roman" w:hAnsi="Arial" w:cs="Arial"/>
          <w:b/>
          <w:bCs/>
          <w:color w:val="666666"/>
          <w:kern w:val="0"/>
          <w:sz w:val="27"/>
          <w:szCs w:val="27"/>
          <w:lang w:eastAsia="es-UY"/>
          <w14:ligatures w14:val="none"/>
        </w:rPr>
        <w:t>Foucault</w:t>
      </w:r>
      <w:r w:rsidRPr="00462844">
        <w:rPr>
          <w:rFonts w:ascii="Arial" w:eastAsia="Times New Roman" w:hAnsi="Arial" w:cs="Arial"/>
          <w:color w:val="666666"/>
          <w:kern w:val="0"/>
          <w:sz w:val="27"/>
          <w:szCs w:val="27"/>
          <w:lang w:eastAsia="es-UY"/>
          <w14:ligatures w14:val="none"/>
        </w:rPr>
        <w:t xml:space="preserve"> , quien terminó convirtiéndose en el empresario de sí mismo, está experimentando una nueva transformación crítica en un escenario que muchos ya llaman </w:t>
      </w:r>
      <w:proofErr w:type="spellStart"/>
      <w:r w:rsidRPr="00462844">
        <w:rPr>
          <w:rFonts w:ascii="Arial" w:eastAsia="Times New Roman" w:hAnsi="Arial" w:cs="Arial"/>
          <w:color w:val="666666"/>
          <w:kern w:val="0"/>
          <w:sz w:val="27"/>
          <w:szCs w:val="27"/>
          <w:lang w:eastAsia="es-UY"/>
          <w14:ligatures w14:val="none"/>
        </w:rPr>
        <w:t>posneoliberal</w:t>
      </w:r>
      <w:proofErr w:type="spellEnd"/>
      <w:r w:rsidRPr="00462844">
        <w:rPr>
          <w:rFonts w:ascii="Arial" w:eastAsia="Times New Roman" w:hAnsi="Arial" w:cs="Arial"/>
          <w:color w:val="666666"/>
          <w:kern w:val="0"/>
          <w:sz w:val="27"/>
          <w:szCs w:val="27"/>
          <w:lang w:eastAsia="es-UY"/>
          <w14:ligatures w14:val="none"/>
        </w:rPr>
        <w:t xml:space="preserve">, a falta de un nombre mejor. La combinación de la estricta prioridad del interés individual y el </w:t>
      </w:r>
      <w:r w:rsidRPr="00462844">
        <w:rPr>
          <w:rFonts w:ascii="Arial" w:eastAsia="Times New Roman" w:hAnsi="Arial" w:cs="Arial"/>
          <w:color w:val="666666"/>
          <w:kern w:val="0"/>
          <w:sz w:val="27"/>
          <w:szCs w:val="27"/>
          <w:lang w:eastAsia="es-UY"/>
          <w14:ligatures w14:val="none"/>
        </w:rPr>
        <w:lastRenderedPageBreak/>
        <w:t>abandono de los individuos en movimientos como el nacionalismo tribal parece indicar que este agente económico está dividido.</w:t>
      </w:r>
    </w:p>
    <w:p w14:paraId="79CAA18F"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298F6364"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Pienso que la noción de </w:t>
      </w:r>
      <w:hyperlink r:id="rId22" w:tgtFrame="_blank" w:history="1">
        <w:r w:rsidRPr="00462844">
          <w:rPr>
            <w:rFonts w:ascii="Arial" w:eastAsia="Times New Roman" w:hAnsi="Arial" w:cs="Arial"/>
            <w:i/>
            <w:iCs/>
            <w:color w:val="FC6B01"/>
            <w:kern w:val="0"/>
            <w:sz w:val="27"/>
            <w:szCs w:val="27"/>
            <w:u w:val="single"/>
            <w:lang w:eastAsia="es-UY"/>
            <w14:ligatures w14:val="none"/>
          </w:rPr>
          <w:t xml:space="preserve">animal </w:t>
        </w:r>
        <w:proofErr w:type="spellStart"/>
        <w:r w:rsidRPr="00462844">
          <w:rPr>
            <w:rFonts w:ascii="Arial" w:eastAsia="Times New Roman" w:hAnsi="Arial" w:cs="Arial"/>
            <w:i/>
            <w:iCs/>
            <w:color w:val="FC6B01"/>
            <w:kern w:val="0"/>
            <w:sz w:val="27"/>
            <w:szCs w:val="27"/>
            <w:u w:val="single"/>
            <w:lang w:eastAsia="es-UY"/>
            <w14:ligatures w14:val="none"/>
          </w:rPr>
          <w:t>laborans</w:t>
        </w:r>
        <w:proofErr w:type="spellEnd"/>
      </w:hyperlink>
      <w:r w:rsidRPr="00462844">
        <w:rPr>
          <w:rFonts w:ascii="Arial" w:eastAsia="Times New Roman" w:hAnsi="Arial" w:cs="Arial"/>
          <w:color w:val="666666"/>
          <w:kern w:val="0"/>
          <w:sz w:val="27"/>
          <w:szCs w:val="27"/>
          <w:lang w:eastAsia="es-UY"/>
          <w14:ligatures w14:val="none"/>
        </w:rPr>
        <w:t> , que traduce el modo de vida de individuos para quienes el mero hecho de vivir en un consumo ostentoso estructura su subjetividad, puede ofrecer pistas para comprender el momento presente. El envenenamiento del espacio político a través del cultivo sistemático de odios públicos incesantes y el socavamiento de las bases del debate político ya no parecen ser los efectos de una crisis coyuntural, sino el eje estructurante de un proyecto de disolución de la vida política, incluso de la política liberal. La confluencia entre el individualismo hiperbólico del agente económico y su apasionada adhesión a grupos que se unen más por la elección de enemigos comunes que por la compartición de intereses comunes nos presenta algo enteramente nuevo y que parece ser la base de lo que se ha llamado neofascismo.</w:t>
      </w:r>
    </w:p>
    <w:p w14:paraId="6B1A661F"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7CE4CB84" w14:textId="77777777" w:rsidR="00462844" w:rsidRPr="00462844" w:rsidRDefault="00462844" w:rsidP="00462844">
      <w:pPr>
        <w:spacing w:after="0" w:line="240" w:lineRule="auto"/>
        <w:jc w:val="both"/>
        <w:outlineLvl w:val="1"/>
        <w:rPr>
          <w:rFonts w:ascii="Arial" w:eastAsia="Times New Roman" w:hAnsi="Arial" w:cs="Arial"/>
          <w:b/>
          <w:bCs/>
          <w:color w:val="000000"/>
          <w:kern w:val="0"/>
          <w:sz w:val="36"/>
          <w:szCs w:val="36"/>
          <w:lang w:eastAsia="es-UY"/>
          <w14:ligatures w14:val="none"/>
        </w:rPr>
      </w:pPr>
      <w:r w:rsidRPr="00462844">
        <w:rPr>
          <w:rFonts w:ascii="Arial" w:eastAsia="Times New Roman" w:hAnsi="Arial" w:cs="Arial"/>
          <w:b/>
          <w:bCs/>
          <w:color w:val="000000"/>
          <w:kern w:val="0"/>
          <w:sz w:val="36"/>
          <w:szCs w:val="36"/>
          <w:lang w:eastAsia="es-UY"/>
          <w14:ligatures w14:val="none"/>
        </w:rPr>
        <w:t>Notas</w:t>
      </w:r>
    </w:p>
    <w:p w14:paraId="70607F23"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(1) </w:t>
      </w:r>
      <w:r w:rsidRPr="00462844">
        <w:rPr>
          <w:rFonts w:ascii="Arial" w:eastAsia="Times New Roman" w:hAnsi="Arial" w:cs="Arial"/>
          <w:b/>
          <w:bCs/>
          <w:color w:val="666666"/>
          <w:kern w:val="0"/>
          <w:sz w:val="27"/>
          <w:szCs w:val="27"/>
          <w:lang w:eastAsia="es-UY"/>
          <w14:ligatures w14:val="none"/>
        </w:rPr>
        <w:t>Hannah Arendt</w:t>
      </w:r>
      <w:r w:rsidRPr="00462844">
        <w:rPr>
          <w:rFonts w:ascii="Arial" w:eastAsia="Times New Roman" w:hAnsi="Arial" w:cs="Arial"/>
          <w:color w:val="666666"/>
          <w:kern w:val="0"/>
          <w:sz w:val="27"/>
          <w:szCs w:val="27"/>
          <w:lang w:eastAsia="es-UY"/>
          <w14:ligatures w14:val="none"/>
        </w:rPr>
        <w:t> (1906-1975): filósofa política alemana de origen judío, una de las más influyentes del siglo XX. La privación de derechos y la persecución de las personas de origen judío ocurridas en </w:t>
      </w:r>
      <w:r w:rsidRPr="00462844">
        <w:rPr>
          <w:rFonts w:ascii="Arial" w:eastAsia="Times New Roman" w:hAnsi="Arial" w:cs="Arial"/>
          <w:b/>
          <w:bCs/>
          <w:color w:val="666666"/>
          <w:kern w:val="0"/>
          <w:sz w:val="27"/>
          <w:szCs w:val="27"/>
          <w:lang w:eastAsia="es-UY"/>
          <w14:ligatures w14:val="none"/>
        </w:rPr>
        <w:t>Alemania</w:t>
      </w:r>
      <w:r w:rsidRPr="00462844">
        <w:rPr>
          <w:rFonts w:ascii="Arial" w:eastAsia="Times New Roman" w:hAnsi="Arial" w:cs="Arial"/>
          <w:color w:val="666666"/>
          <w:kern w:val="0"/>
          <w:sz w:val="27"/>
          <w:szCs w:val="27"/>
          <w:lang w:eastAsia="es-UY"/>
          <w14:ligatures w14:val="none"/>
        </w:rPr>
        <w:t> a partir de 1933, así como su breve encarcelamiento ese mismo año, obligaron </w:t>
      </w:r>
      <w:r w:rsidRPr="00462844">
        <w:rPr>
          <w:rFonts w:ascii="Arial" w:eastAsia="Times New Roman" w:hAnsi="Arial" w:cs="Arial"/>
          <w:b/>
          <w:bCs/>
          <w:color w:val="666666"/>
          <w:kern w:val="0"/>
          <w:sz w:val="27"/>
          <w:szCs w:val="27"/>
          <w:lang w:eastAsia="es-UY"/>
          <w14:ligatures w14:val="none"/>
        </w:rPr>
        <w:t>a Arendt</w:t>
      </w:r>
      <w:r w:rsidRPr="00462844">
        <w:rPr>
          <w:rFonts w:ascii="Arial" w:eastAsia="Times New Roman" w:hAnsi="Arial" w:cs="Arial"/>
          <w:color w:val="666666"/>
          <w:kern w:val="0"/>
          <w:sz w:val="27"/>
          <w:szCs w:val="27"/>
          <w:lang w:eastAsia="es-UY"/>
          <w14:ligatures w14:val="none"/>
        </w:rPr>
        <w:t> a emigrar. El régimen nazi la despojó de su nacionalidad en 1937, lo que la convirtió en apátrida hasta que obtuvo la nacionalidad estadounidense en 1951. Trabajó, entre otras actividades, como periodista y profesora universitaria y publicó importantes obras de filosofía política. Sin embargo, se negó a ser clasificada como “filósofa” y se distanció del término “filosofía política”; prefería que sus publicaciones se clasificaran dentro de “teoría política”. Sobre este pensador, consulte </w:t>
      </w:r>
      <w:r w:rsidRPr="00462844">
        <w:rPr>
          <w:rFonts w:ascii="Arial" w:eastAsia="Times New Roman" w:hAnsi="Arial" w:cs="Arial"/>
          <w:b/>
          <w:bCs/>
          <w:color w:val="666666"/>
          <w:kern w:val="0"/>
          <w:sz w:val="27"/>
          <w:szCs w:val="27"/>
          <w:lang w:eastAsia="es-UY"/>
          <w14:ligatures w14:val="none"/>
        </w:rPr>
        <w:t>la Edición 206</w:t>
      </w:r>
      <w:r w:rsidRPr="00462844">
        <w:rPr>
          <w:rFonts w:ascii="Arial" w:eastAsia="Times New Roman" w:hAnsi="Arial" w:cs="Arial"/>
          <w:color w:val="666666"/>
          <w:kern w:val="0"/>
          <w:sz w:val="27"/>
          <w:szCs w:val="27"/>
          <w:lang w:eastAsia="es-UY"/>
          <w14:ligatures w14:val="none"/>
        </w:rPr>
        <w:t> , del 27-11-2006, de la </w:t>
      </w:r>
      <w:r w:rsidRPr="00462844">
        <w:rPr>
          <w:rFonts w:ascii="Arial" w:eastAsia="Times New Roman" w:hAnsi="Arial" w:cs="Arial"/>
          <w:b/>
          <w:bCs/>
          <w:color w:val="666666"/>
          <w:kern w:val="0"/>
          <w:sz w:val="27"/>
          <w:szCs w:val="27"/>
          <w:lang w:eastAsia="es-UY"/>
          <w14:ligatures w14:val="none"/>
        </w:rPr>
        <w:t>Revista On-Line del IHU</w:t>
      </w:r>
      <w:r w:rsidRPr="00462844">
        <w:rPr>
          <w:rFonts w:ascii="Arial" w:eastAsia="Times New Roman" w:hAnsi="Arial" w:cs="Arial"/>
          <w:color w:val="666666"/>
          <w:kern w:val="0"/>
          <w:sz w:val="27"/>
          <w:szCs w:val="27"/>
          <w:lang w:eastAsia="es-UY"/>
          <w14:ligatures w14:val="none"/>
        </w:rPr>
        <w:t> , titulada </w:t>
      </w:r>
      <w:r w:rsidRPr="00462844">
        <w:rPr>
          <w:rFonts w:ascii="Arial" w:eastAsia="Times New Roman" w:hAnsi="Arial" w:cs="Arial"/>
          <w:b/>
          <w:bCs/>
          <w:color w:val="666666"/>
          <w:kern w:val="0"/>
          <w:sz w:val="27"/>
          <w:szCs w:val="27"/>
          <w:lang w:eastAsia="es-UY"/>
          <w14:ligatures w14:val="none"/>
        </w:rPr>
        <w:t>El mundo moderno es el mundo sin política. Hannah Arendt 1906-1975</w:t>
      </w:r>
      <w:r w:rsidRPr="00462844">
        <w:rPr>
          <w:rFonts w:ascii="Arial" w:eastAsia="Times New Roman" w:hAnsi="Arial" w:cs="Arial"/>
          <w:color w:val="666666"/>
          <w:kern w:val="0"/>
          <w:sz w:val="27"/>
          <w:szCs w:val="27"/>
          <w:lang w:eastAsia="es-UY"/>
          <w14:ligatures w14:val="none"/>
        </w:rPr>
        <w:t> , disponible </w:t>
      </w:r>
      <w:hyperlink r:id="rId23"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w:t>
      </w:r>
    </w:p>
    <w:p w14:paraId="3C86BF91"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40FA490B"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(2) </w:t>
      </w:r>
      <w:r w:rsidRPr="00462844">
        <w:rPr>
          <w:rFonts w:ascii="Arial" w:eastAsia="Times New Roman" w:hAnsi="Arial" w:cs="Arial"/>
          <w:b/>
          <w:bCs/>
          <w:color w:val="666666"/>
          <w:kern w:val="0"/>
          <w:sz w:val="27"/>
          <w:szCs w:val="27"/>
          <w:lang w:eastAsia="es-UY"/>
          <w14:ligatures w14:val="none"/>
        </w:rPr>
        <w:t>Adolf Eichmann</w:t>
      </w:r>
      <w:r w:rsidRPr="00462844">
        <w:rPr>
          <w:rFonts w:ascii="Arial" w:eastAsia="Times New Roman" w:hAnsi="Arial" w:cs="Arial"/>
          <w:color w:val="666666"/>
          <w:kern w:val="0"/>
          <w:sz w:val="27"/>
          <w:szCs w:val="27"/>
          <w:lang w:eastAsia="es-UY"/>
          <w14:ligatures w14:val="none"/>
        </w:rPr>
        <w:t> (1906-1962): SS-</w:t>
      </w:r>
      <w:proofErr w:type="spellStart"/>
      <w:r w:rsidRPr="00462844">
        <w:rPr>
          <w:rFonts w:ascii="Arial" w:eastAsia="Times New Roman" w:hAnsi="Arial" w:cs="Arial"/>
          <w:color w:val="666666"/>
          <w:kern w:val="0"/>
          <w:sz w:val="27"/>
          <w:szCs w:val="27"/>
          <w:lang w:eastAsia="es-UY"/>
          <w14:ligatures w14:val="none"/>
        </w:rPr>
        <w:t>Obersturmbannführer</w:t>
      </w:r>
      <w:proofErr w:type="spellEnd"/>
      <w:r w:rsidRPr="00462844">
        <w:rPr>
          <w:rFonts w:ascii="Arial" w:eastAsia="Times New Roman" w:hAnsi="Arial" w:cs="Arial"/>
          <w:color w:val="666666"/>
          <w:kern w:val="0"/>
          <w:sz w:val="27"/>
          <w:szCs w:val="27"/>
          <w:lang w:eastAsia="es-UY"/>
          <w14:ligatures w14:val="none"/>
        </w:rPr>
        <w:t xml:space="preserve"> (teniente coronel) de </w:t>
      </w:r>
      <w:r w:rsidRPr="00462844">
        <w:rPr>
          <w:rFonts w:ascii="Arial" w:eastAsia="Times New Roman" w:hAnsi="Arial" w:cs="Arial"/>
          <w:b/>
          <w:bCs/>
          <w:color w:val="666666"/>
          <w:kern w:val="0"/>
          <w:sz w:val="27"/>
          <w:szCs w:val="27"/>
          <w:lang w:eastAsia="es-UY"/>
          <w14:ligatures w14:val="none"/>
        </w:rPr>
        <w:t>la Alemania nazi</w:t>
      </w:r>
      <w:r w:rsidRPr="00462844">
        <w:rPr>
          <w:rFonts w:ascii="Arial" w:eastAsia="Times New Roman" w:hAnsi="Arial" w:cs="Arial"/>
          <w:color w:val="666666"/>
          <w:kern w:val="0"/>
          <w:sz w:val="27"/>
          <w:szCs w:val="27"/>
          <w:lang w:eastAsia="es-UY"/>
          <w14:ligatures w14:val="none"/>
        </w:rPr>
        <w:t> , y uno de los principales organizadores del Holocausto. Eichmann fue designado por el SS-</w:t>
      </w:r>
      <w:proofErr w:type="spellStart"/>
      <w:r w:rsidRPr="00462844">
        <w:rPr>
          <w:rFonts w:ascii="Arial" w:eastAsia="Times New Roman" w:hAnsi="Arial" w:cs="Arial"/>
          <w:color w:val="666666"/>
          <w:kern w:val="0"/>
          <w:sz w:val="27"/>
          <w:szCs w:val="27"/>
          <w:lang w:eastAsia="es-UY"/>
          <w14:ligatures w14:val="none"/>
        </w:rPr>
        <w:t>Obergruppenführer</w:t>
      </w:r>
      <w:proofErr w:type="spellEnd"/>
      <w:r w:rsidRPr="00462844">
        <w:rPr>
          <w:rFonts w:ascii="Arial" w:eastAsia="Times New Roman" w:hAnsi="Arial" w:cs="Arial"/>
          <w:color w:val="666666"/>
          <w:kern w:val="0"/>
          <w:sz w:val="27"/>
          <w:szCs w:val="27"/>
          <w:lang w:eastAsia="es-UY"/>
          <w14:ligatures w14:val="none"/>
        </w:rPr>
        <w:t xml:space="preserve"> (General/Teniente General) </w:t>
      </w:r>
      <w:hyperlink r:id="rId24" w:tgtFrame="_blank" w:history="1">
        <w:r w:rsidRPr="00462844">
          <w:rPr>
            <w:rFonts w:ascii="Arial" w:eastAsia="Times New Roman" w:hAnsi="Arial" w:cs="Arial"/>
            <w:color w:val="FC6B01"/>
            <w:kern w:val="0"/>
            <w:sz w:val="27"/>
            <w:szCs w:val="27"/>
            <w:u w:val="single"/>
            <w:lang w:eastAsia="es-UY"/>
            <w14:ligatures w14:val="none"/>
          </w:rPr>
          <w:t>Reinhard Heydrich</w:t>
        </w:r>
      </w:hyperlink>
      <w:r w:rsidRPr="00462844">
        <w:rPr>
          <w:rFonts w:ascii="Arial" w:eastAsia="Times New Roman" w:hAnsi="Arial" w:cs="Arial"/>
          <w:color w:val="666666"/>
          <w:kern w:val="0"/>
          <w:sz w:val="27"/>
          <w:szCs w:val="27"/>
          <w:lang w:eastAsia="es-UY"/>
          <w14:ligatures w14:val="none"/>
        </w:rPr>
        <w:t>  para gestionar la logística de las deportaciones masivas de judíos a los guetos y campos de exterminio en las zonas ocupadas por Alemania del Este durante la Segunda Guerra Mundial. En 1960, fue capturado en </w:t>
      </w:r>
      <w:r w:rsidRPr="00462844">
        <w:rPr>
          <w:rFonts w:ascii="Arial" w:eastAsia="Times New Roman" w:hAnsi="Arial" w:cs="Arial"/>
          <w:b/>
          <w:bCs/>
          <w:color w:val="666666"/>
          <w:kern w:val="0"/>
          <w:sz w:val="27"/>
          <w:szCs w:val="27"/>
          <w:lang w:eastAsia="es-UY"/>
          <w14:ligatures w14:val="none"/>
        </w:rPr>
        <w:t>Argentina</w:t>
      </w:r>
      <w:r w:rsidRPr="00462844">
        <w:rPr>
          <w:rFonts w:ascii="Arial" w:eastAsia="Times New Roman" w:hAnsi="Arial" w:cs="Arial"/>
          <w:color w:val="666666"/>
          <w:kern w:val="0"/>
          <w:sz w:val="27"/>
          <w:szCs w:val="27"/>
          <w:lang w:eastAsia="es-UY"/>
          <w14:ligatures w14:val="none"/>
        </w:rPr>
        <w:t> por </w:t>
      </w:r>
      <w:r w:rsidRPr="00462844">
        <w:rPr>
          <w:rFonts w:ascii="Arial" w:eastAsia="Times New Roman" w:hAnsi="Arial" w:cs="Arial"/>
          <w:b/>
          <w:bCs/>
          <w:color w:val="666666"/>
          <w:kern w:val="0"/>
          <w:sz w:val="27"/>
          <w:szCs w:val="27"/>
          <w:lang w:eastAsia="es-UY"/>
          <w14:ligatures w14:val="none"/>
        </w:rPr>
        <w:t xml:space="preserve">el </w:t>
      </w:r>
      <w:proofErr w:type="spellStart"/>
      <w:r w:rsidRPr="00462844">
        <w:rPr>
          <w:rFonts w:ascii="Arial" w:eastAsia="Times New Roman" w:hAnsi="Arial" w:cs="Arial"/>
          <w:b/>
          <w:bCs/>
          <w:color w:val="666666"/>
          <w:kern w:val="0"/>
          <w:sz w:val="27"/>
          <w:szCs w:val="27"/>
          <w:lang w:eastAsia="es-UY"/>
          <w14:ligatures w14:val="none"/>
        </w:rPr>
        <w:t>Mossad</w:t>
      </w:r>
      <w:proofErr w:type="spellEnd"/>
      <w:r w:rsidRPr="00462844">
        <w:rPr>
          <w:rFonts w:ascii="Arial" w:eastAsia="Times New Roman" w:hAnsi="Arial" w:cs="Arial"/>
          <w:color w:val="666666"/>
          <w:kern w:val="0"/>
          <w:sz w:val="27"/>
          <w:szCs w:val="27"/>
          <w:lang w:eastAsia="es-UY"/>
          <w14:ligatures w14:val="none"/>
        </w:rPr>
        <w:t> , el servicio secreto de </w:t>
      </w:r>
      <w:r w:rsidRPr="00462844">
        <w:rPr>
          <w:rFonts w:ascii="Arial" w:eastAsia="Times New Roman" w:hAnsi="Arial" w:cs="Arial"/>
          <w:b/>
          <w:bCs/>
          <w:color w:val="666666"/>
          <w:kern w:val="0"/>
          <w:sz w:val="27"/>
          <w:szCs w:val="27"/>
          <w:lang w:eastAsia="es-UY"/>
          <w14:ligatures w14:val="none"/>
        </w:rPr>
        <w:t>Israel</w:t>
      </w:r>
      <w:r w:rsidRPr="00462844">
        <w:rPr>
          <w:rFonts w:ascii="Arial" w:eastAsia="Times New Roman" w:hAnsi="Arial" w:cs="Arial"/>
          <w:color w:val="666666"/>
          <w:kern w:val="0"/>
          <w:sz w:val="27"/>
          <w:szCs w:val="27"/>
          <w:lang w:eastAsia="es-UY"/>
          <w14:ligatures w14:val="none"/>
        </w:rPr>
        <w:t> . Después de un juicio muy publicitado en </w:t>
      </w:r>
      <w:r w:rsidRPr="00462844">
        <w:rPr>
          <w:rFonts w:ascii="Arial" w:eastAsia="Times New Roman" w:hAnsi="Arial" w:cs="Arial"/>
          <w:b/>
          <w:bCs/>
          <w:color w:val="666666"/>
          <w:kern w:val="0"/>
          <w:sz w:val="27"/>
          <w:szCs w:val="27"/>
          <w:lang w:eastAsia="es-UY"/>
          <w14:ligatures w14:val="none"/>
        </w:rPr>
        <w:t>Israel</w:t>
      </w:r>
      <w:r w:rsidRPr="00462844">
        <w:rPr>
          <w:rFonts w:ascii="Arial" w:eastAsia="Times New Roman" w:hAnsi="Arial" w:cs="Arial"/>
          <w:color w:val="666666"/>
          <w:kern w:val="0"/>
          <w:sz w:val="27"/>
          <w:szCs w:val="27"/>
          <w:lang w:eastAsia="es-UY"/>
          <w14:ligatures w14:val="none"/>
        </w:rPr>
        <w:t> , fue declarado culpable de crímenes de guerra y ahorcado en 1962. El juicio fue cubierto por los medios y sirvió de inspiración para varios libros, incluido </w:t>
      </w:r>
      <w:r w:rsidRPr="00462844">
        <w:rPr>
          <w:rFonts w:ascii="Arial" w:eastAsia="Times New Roman" w:hAnsi="Arial" w:cs="Arial"/>
          <w:i/>
          <w:iCs/>
          <w:color w:val="666666"/>
          <w:kern w:val="0"/>
          <w:sz w:val="27"/>
          <w:szCs w:val="27"/>
          <w:lang w:eastAsia="es-UY"/>
          <w14:ligatures w14:val="none"/>
        </w:rPr>
        <w:t xml:space="preserve">Eichmann en </w:t>
      </w:r>
      <w:r w:rsidRPr="00462844">
        <w:rPr>
          <w:rFonts w:ascii="Arial" w:eastAsia="Times New Roman" w:hAnsi="Arial" w:cs="Arial"/>
          <w:i/>
          <w:iCs/>
          <w:color w:val="666666"/>
          <w:kern w:val="0"/>
          <w:sz w:val="27"/>
          <w:szCs w:val="27"/>
          <w:lang w:eastAsia="es-UY"/>
          <w14:ligatures w14:val="none"/>
        </w:rPr>
        <w:lastRenderedPageBreak/>
        <w:t>Jerusalén</w:t>
      </w:r>
      <w:r w:rsidRPr="00462844">
        <w:rPr>
          <w:rFonts w:ascii="Arial" w:eastAsia="Times New Roman" w:hAnsi="Arial" w:cs="Arial"/>
          <w:color w:val="666666"/>
          <w:kern w:val="0"/>
          <w:sz w:val="27"/>
          <w:szCs w:val="27"/>
          <w:lang w:eastAsia="es-UY"/>
          <w14:ligatures w14:val="none"/>
        </w:rPr>
        <w:t> de </w:t>
      </w:r>
      <w:r w:rsidRPr="00462844">
        <w:rPr>
          <w:rFonts w:ascii="Arial" w:eastAsia="Times New Roman" w:hAnsi="Arial" w:cs="Arial"/>
          <w:b/>
          <w:bCs/>
          <w:color w:val="666666"/>
          <w:kern w:val="0"/>
          <w:sz w:val="27"/>
          <w:szCs w:val="27"/>
          <w:lang w:eastAsia="es-UY"/>
          <w14:ligatures w14:val="none"/>
        </w:rPr>
        <w:t>Hannah Arendt</w:t>
      </w:r>
      <w:r w:rsidRPr="00462844">
        <w:rPr>
          <w:rFonts w:ascii="Arial" w:eastAsia="Times New Roman" w:hAnsi="Arial" w:cs="Arial"/>
          <w:color w:val="666666"/>
          <w:kern w:val="0"/>
          <w:sz w:val="27"/>
          <w:szCs w:val="27"/>
          <w:lang w:eastAsia="es-UY"/>
          <w14:ligatures w14:val="none"/>
        </w:rPr>
        <w:t> , en el que </w:t>
      </w:r>
      <w:r w:rsidRPr="00462844">
        <w:rPr>
          <w:rFonts w:ascii="Arial" w:eastAsia="Times New Roman" w:hAnsi="Arial" w:cs="Arial"/>
          <w:b/>
          <w:bCs/>
          <w:color w:val="666666"/>
          <w:kern w:val="0"/>
          <w:sz w:val="27"/>
          <w:szCs w:val="27"/>
          <w:lang w:eastAsia="es-UY"/>
          <w14:ligatures w14:val="none"/>
        </w:rPr>
        <w:t>Arendt</w:t>
      </w:r>
      <w:r w:rsidRPr="00462844">
        <w:rPr>
          <w:rFonts w:ascii="Arial" w:eastAsia="Times New Roman" w:hAnsi="Arial" w:cs="Arial"/>
          <w:color w:val="666666"/>
          <w:kern w:val="0"/>
          <w:sz w:val="27"/>
          <w:szCs w:val="27"/>
          <w:lang w:eastAsia="es-UY"/>
          <w14:ligatures w14:val="none"/>
        </w:rPr>
        <w:t> describe </w:t>
      </w:r>
      <w:r w:rsidRPr="00462844">
        <w:rPr>
          <w:rFonts w:ascii="Arial" w:eastAsia="Times New Roman" w:hAnsi="Arial" w:cs="Arial"/>
          <w:b/>
          <w:bCs/>
          <w:color w:val="666666"/>
          <w:kern w:val="0"/>
          <w:sz w:val="27"/>
          <w:szCs w:val="27"/>
          <w:lang w:eastAsia="es-UY"/>
          <w14:ligatures w14:val="none"/>
        </w:rPr>
        <w:t>a Eichmann</w:t>
      </w:r>
      <w:r w:rsidRPr="00462844">
        <w:rPr>
          <w:rFonts w:ascii="Arial" w:eastAsia="Times New Roman" w:hAnsi="Arial" w:cs="Arial"/>
          <w:color w:val="666666"/>
          <w:kern w:val="0"/>
          <w:sz w:val="27"/>
          <w:szCs w:val="27"/>
          <w:lang w:eastAsia="es-UY"/>
          <w14:ligatures w14:val="none"/>
        </w:rPr>
        <w:t> con el concepto de "la banalidad del mal". Sobre la banalidad del mal, consulte </w:t>
      </w:r>
      <w:r w:rsidRPr="00462844">
        <w:rPr>
          <w:rFonts w:ascii="Arial" w:eastAsia="Times New Roman" w:hAnsi="Arial" w:cs="Arial"/>
          <w:b/>
          <w:bCs/>
          <w:color w:val="666666"/>
          <w:kern w:val="0"/>
          <w:sz w:val="27"/>
          <w:szCs w:val="27"/>
          <w:lang w:eastAsia="es-UY"/>
          <w14:ligatures w14:val="none"/>
        </w:rPr>
        <w:t>la Edición 438</w:t>
      </w:r>
      <w:r w:rsidRPr="00462844">
        <w:rPr>
          <w:rFonts w:ascii="Arial" w:eastAsia="Times New Roman" w:hAnsi="Arial" w:cs="Arial"/>
          <w:color w:val="666666"/>
          <w:kern w:val="0"/>
          <w:sz w:val="27"/>
          <w:szCs w:val="27"/>
          <w:lang w:eastAsia="es-UY"/>
          <w14:ligatures w14:val="none"/>
        </w:rPr>
        <w:t> , del 24-03-2014 de la </w:t>
      </w:r>
      <w:r w:rsidRPr="00462844">
        <w:rPr>
          <w:rFonts w:ascii="Arial" w:eastAsia="Times New Roman" w:hAnsi="Arial" w:cs="Arial"/>
          <w:b/>
          <w:bCs/>
          <w:color w:val="666666"/>
          <w:kern w:val="0"/>
          <w:sz w:val="27"/>
          <w:szCs w:val="27"/>
          <w:lang w:eastAsia="es-UY"/>
          <w14:ligatures w14:val="none"/>
        </w:rPr>
        <w:t>Revista On-Line del IHU</w:t>
      </w:r>
      <w:r w:rsidRPr="00462844">
        <w:rPr>
          <w:rFonts w:ascii="Arial" w:eastAsia="Times New Roman" w:hAnsi="Arial" w:cs="Arial"/>
          <w:color w:val="666666"/>
          <w:kern w:val="0"/>
          <w:sz w:val="27"/>
          <w:szCs w:val="27"/>
          <w:lang w:eastAsia="es-UY"/>
          <w14:ligatures w14:val="none"/>
        </w:rPr>
        <w:t> , titulada </w:t>
      </w:r>
      <w:r w:rsidRPr="00462844">
        <w:rPr>
          <w:rFonts w:ascii="Arial" w:eastAsia="Times New Roman" w:hAnsi="Arial" w:cs="Arial"/>
          <w:b/>
          <w:bCs/>
          <w:color w:val="666666"/>
          <w:kern w:val="0"/>
          <w:sz w:val="27"/>
          <w:szCs w:val="27"/>
          <w:lang w:eastAsia="es-UY"/>
          <w14:ligatures w14:val="none"/>
        </w:rPr>
        <w:t>La banalidad del mal</w:t>
      </w:r>
      <w:r w:rsidRPr="00462844">
        <w:rPr>
          <w:rFonts w:ascii="Arial" w:eastAsia="Times New Roman" w:hAnsi="Arial" w:cs="Arial"/>
          <w:color w:val="666666"/>
          <w:kern w:val="0"/>
          <w:sz w:val="27"/>
          <w:szCs w:val="27"/>
          <w:lang w:eastAsia="es-UY"/>
          <w14:ligatures w14:val="none"/>
        </w:rPr>
        <w:t> , disponible </w:t>
      </w:r>
      <w:hyperlink r:id="rId25"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w:t>
      </w:r>
    </w:p>
    <w:p w14:paraId="39BA44BF"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5CD0F10D"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(3) </w:t>
      </w:r>
      <w:r w:rsidRPr="00462844">
        <w:rPr>
          <w:rFonts w:ascii="Arial" w:eastAsia="Times New Roman" w:hAnsi="Arial" w:cs="Arial"/>
          <w:b/>
          <w:bCs/>
          <w:color w:val="666666"/>
          <w:kern w:val="0"/>
          <w:sz w:val="27"/>
          <w:szCs w:val="27"/>
          <w:lang w:eastAsia="es-UY"/>
          <w14:ligatures w14:val="none"/>
        </w:rPr>
        <w:t>Immanuel Kant</w:t>
      </w:r>
      <w:r w:rsidRPr="00462844">
        <w:rPr>
          <w:rFonts w:ascii="Arial" w:eastAsia="Times New Roman" w:hAnsi="Arial" w:cs="Arial"/>
          <w:color w:val="666666"/>
          <w:kern w:val="0"/>
          <w:sz w:val="27"/>
          <w:szCs w:val="27"/>
          <w:lang w:eastAsia="es-UY"/>
          <w14:ligatures w14:val="none"/>
        </w:rPr>
        <w:t> (1724-1804): filósofo alemán y uno de los principales pensadores de la Ilustración. Sus trabajos exhaustivos y sistemáticos en epistemología, metafísica, ética y estética lo han convertido en una de las figuras más influyentes de la filosofía occidental moderna. En su doctrina del idealismo trascendental,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xml:space="preserve"> argumentó que el espacio y el tiempo son meras “formas de intuición” que estructuran toda experiencia y que los objetos de la experiencia son </w:t>
      </w:r>
      <w:proofErr w:type="gramStart"/>
      <w:r w:rsidRPr="00462844">
        <w:rPr>
          <w:rFonts w:ascii="Arial" w:eastAsia="Times New Roman" w:hAnsi="Arial" w:cs="Arial"/>
          <w:color w:val="666666"/>
          <w:kern w:val="0"/>
          <w:sz w:val="27"/>
          <w:szCs w:val="27"/>
          <w:lang w:eastAsia="es-UY"/>
          <w14:ligatures w14:val="none"/>
        </w:rPr>
        <w:t>meras</w:t>
      </w:r>
      <w:proofErr w:type="gramEnd"/>
      <w:r w:rsidRPr="00462844">
        <w:rPr>
          <w:rFonts w:ascii="Arial" w:eastAsia="Times New Roman" w:hAnsi="Arial" w:cs="Arial"/>
          <w:color w:val="666666"/>
          <w:kern w:val="0"/>
          <w:sz w:val="27"/>
          <w:szCs w:val="27"/>
          <w:lang w:eastAsia="es-UY"/>
          <w14:ligatures w14:val="none"/>
        </w:rPr>
        <w:t xml:space="preserve"> “apariencias”. La naturaleza de las cosas tal como son en sí mismas nos resulta incognoscible. En un intento de contrarrestar el escepticismo, escribió la Crítica de la razón pura (1781/1787), su obra más conocida. </w:t>
      </w:r>
      <w:r w:rsidRPr="00462844">
        <w:rPr>
          <w:rFonts w:ascii="Arial" w:eastAsia="Times New Roman" w:hAnsi="Arial" w:cs="Arial"/>
          <w:b/>
          <w:bCs/>
          <w:color w:val="666666"/>
          <w:kern w:val="0"/>
          <w:sz w:val="27"/>
          <w:szCs w:val="27"/>
          <w:lang w:eastAsia="es-UY"/>
          <w14:ligatures w14:val="none"/>
        </w:rPr>
        <w:t>Kant</w:t>
      </w:r>
      <w:r w:rsidRPr="00462844">
        <w:rPr>
          <w:rFonts w:ascii="Arial" w:eastAsia="Times New Roman" w:hAnsi="Arial" w:cs="Arial"/>
          <w:color w:val="666666"/>
          <w:kern w:val="0"/>
          <w:sz w:val="27"/>
          <w:szCs w:val="27"/>
          <w:lang w:eastAsia="es-UY"/>
          <w14:ligatures w14:val="none"/>
        </w:rPr>
        <w:t> trazó un paralelo con la revolución copernicana en su propuesta de pensar los objetos de los sentidos de acuerdo con nuestras formas espaciales y temporales de intuición y las categorías de nuestro entendimiento, de modo que tengamos un conocimiento a priori de esos objetos. Sobre este filósofo, consulte las siguientes ediciones de la </w:t>
      </w:r>
      <w:r w:rsidRPr="00462844">
        <w:rPr>
          <w:rFonts w:ascii="Arial" w:eastAsia="Times New Roman" w:hAnsi="Arial" w:cs="Arial"/>
          <w:b/>
          <w:bCs/>
          <w:color w:val="666666"/>
          <w:kern w:val="0"/>
          <w:sz w:val="27"/>
          <w:szCs w:val="27"/>
          <w:lang w:eastAsia="es-UY"/>
          <w14:ligatures w14:val="none"/>
        </w:rPr>
        <w:t>Revista On-Line del IHU: Edición 93</w:t>
      </w:r>
      <w:r w:rsidRPr="00462844">
        <w:rPr>
          <w:rFonts w:ascii="Arial" w:eastAsia="Times New Roman" w:hAnsi="Arial" w:cs="Arial"/>
          <w:color w:val="666666"/>
          <w:kern w:val="0"/>
          <w:sz w:val="27"/>
          <w:szCs w:val="27"/>
          <w:lang w:eastAsia="es-UY"/>
          <w14:ligatures w14:val="none"/>
        </w:rPr>
        <w:t> , del 22-03-2004, titulada </w:t>
      </w:r>
      <w:r w:rsidRPr="00462844">
        <w:rPr>
          <w:rFonts w:ascii="Arial" w:eastAsia="Times New Roman" w:hAnsi="Arial" w:cs="Arial"/>
          <w:b/>
          <w:bCs/>
          <w:color w:val="666666"/>
          <w:kern w:val="0"/>
          <w:sz w:val="27"/>
          <w:szCs w:val="27"/>
          <w:lang w:eastAsia="es-UY"/>
          <w14:ligatures w14:val="none"/>
        </w:rPr>
        <w:t>Kant: razón, libertad y ética</w:t>
      </w:r>
      <w:r w:rsidRPr="00462844">
        <w:rPr>
          <w:rFonts w:ascii="Arial" w:eastAsia="Times New Roman" w:hAnsi="Arial" w:cs="Arial"/>
          <w:color w:val="666666"/>
          <w:kern w:val="0"/>
          <w:sz w:val="27"/>
          <w:szCs w:val="27"/>
          <w:lang w:eastAsia="es-UY"/>
          <w14:ligatures w14:val="none"/>
        </w:rPr>
        <w:t> , disponible </w:t>
      </w:r>
      <w:hyperlink r:id="rId26"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Edición 417</w:t>
      </w:r>
      <w:r w:rsidRPr="00462844">
        <w:rPr>
          <w:rFonts w:ascii="Arial" w:eastAsia="Times New Roman" w:hAnsi="Arial" w:cs="Arial"/>
          <w:color w:val="666666"/>
          <w:kern w:val="0"/>
          <w:sz w:val="27"/>
          <w:szCs w:val="27"/>
          <w:lang w:eastAsia="es-UY"/>
          <w14:ligatures w14:val="none"/>
        </w:rPr>
        <w:t> , del 06-05-2012, titulada </w:t>
      </w:r>
      <w:r w:rsidRPr="00462844">
        <w:rPr>
          <w:rFonts w:ascii="Arial" w:eastAsia="Times New Roman" w:hAnsi="Arial" w:cs="Arial"/>
          <w:b/>
          <w:bCs/>
          <w:color w:val="666666"/>
          <w:kern w:val="0"/>
          <w:sz w:val="27"/>
          <w:szCs w:val="27"/>
          <w:lang w:eastAsia="es-UY"/>
          <w14:ligatures w14:val="none"/>
        </w:rPr>
        <w:t>La autonomía del sujeto, hoy. Imperativos y desafíos</w:t>
      </w:r>
      <w:r w:rsidRPr="00462844">
        <w:rPr>
          <w:rFonts w:ascii="Arial" w:eastAsia="Times New Roman" w:hAnsi="Arial" w:cs="Arial"/>
          <w:color w:val="666666"/>
          <w:kern w:val="0"/>
          <w:sz w:val="27"/>
          <w:szCs w:val="27"/>
          <w:lang w:eastAsia="es-UY"/>
          <w14:ligatures w14:val="none"/>
        </w:rPr>
        <w:t> , disponibles </w:t>
      </w:r>
      <w:hyperlink r:id="rId27"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w:t>
      </w:r>
    </w:p>
    <w:p w14:paraId="32C3F06F"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56BC798E" w14:textId="77777777" w:rsid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(4) </w:t>
      </w:r>
      <w:hyperlink r:id="rId28" w:tgtFrame="_blank" w:history="1">
        <w:r w:rsidRPr="00462844">
          <w:rPr>
            <w:rFonts w:ascii="Arial" w:eastAsia="Times New Roman" w:hAnsi="Arial" w:cs="Arial"/>
            <w:color w:val="FC6B01"/>
            <w:kern w:val="0"/>
            <w:sz w:val="27"/>
            <w:szCs w:val="27"/>
            <w:u w:val="single"/>
            <w:lang w:eastAsia="es-UY"/>
            <w14:ligatures w14:val="none"/>
          </w:rPr>
          <w:t>Sócrates</w:t>
        </w:r>
      </w:hyperlink>
      <w:r w:rsidRPr="00462844">
        <w:rPr>
          <w:rFonts w:ascii="Arial" w:eastAsia="Times New Roman" w:hAnsi="Arial" w:cs="Arial"/>
          <w:color w:val="666666"/>
          <w:kern w:val="0"/>
          <w:sz w:val="27"/>
          <w:szCs w:val="27"/>
          <w:lang w:eastAsia="es-UY"/>
          <w14:ligatures w14:val="none"/>
        </w:rPr>
        <w:t>  (470 a. C. – 399 a. C.): filósofo ateniense del período clásico de </w:t>
      </w:r>
      <w:r w:rsidRPr="00462844">
        <w:rPr>
          <w:rFonts w:ascii="Arial" w:eastAsia="Times New Roman" w:hAnsi="Arial" w:cs="Arial"/>
          <w:b/>
          <w:bCs/>
          <w:color w:val="666666"/>
          <w:kern w:val="0"/>
          <w:sz w:val="27"/>
          <w:szCs w:val="27"/>
          <w:lang w:eastAsia="es-UY"/>
          <w14:ligatures w14:val="none"/>
        </w:rPr>
        <w:t>la antigua Grecia</w:t>
      </w:r>
      <w:r w:rsidRPr="00462844">
        <w:rPr>
          <w:rFonts w:ascii="Arial" w:eastAsia="Times New Roman" w:hAnsi="Arial" w:cs="Arial"/>
          <w:color w:val="666666"/>
          <w:kern w:val="0"/>
          <w:sz w:val="27"/>
          <w:szCs w:val="27"/>
          <w:lang w:eastAsia="es-UY"/>
          <w14:ligatures w14:val="none"/>
        </w:rPr>
        <w:t> . Considerado uno de los fundadores de la filosofía occidental, sigue siendo una figura enigmática hasta el día de hoy, conocido principalmente a través de relatos en las obras de escritores posteriores, especialmente dos de sus estudiantes, </w:t>
      </w:r>
      <w:hyperlink r:id="rId29" w:tgtFrame="_blank" w:history="1">
        <w:r w:rsidRPr="00462844">
          <w:rPr>
            <w:rFonts w:ascii="Arial" w:eastAsia="Times New Roman" w:hAnsi="Arial" w:cs="Arial"/>
            <w:color w:val="FC6B01"/>
            <w:kern w:val="0"/>
            <w:sz w:val="27"/>
            <w:szCs w:val="27"/>
            <w:u w:val="single"/>
            <w:lang w:eastAsia="es-UY"/>
            <w14:ligatures w14:val="none"/>
          </w:rPr>
          <w:t>Platón</w:t>
        </w:r>
      </w:hyperlink>
      <w:r w:rsidRPr="00462844">
        <w:rPr>
          <w:rFonts w:ascii="Arial" w:eastAsia="Times New Roman" w:hAnsi="Arial" w:cs="Arial"/>
          <w:color w:val="666666"/>
          <w:kern w:val="0"/>
          <w:sz w:val="27"/>
          <w:szCs w:val="27"/>
          <w:lang w:eastAsia="es-UY"/>
          <w14:ligatures w14:val="none"/>
        </w:rPr>
        <w:t>  y </w:t>
      </w:r>
      <w:r w:rsidRPr="00462844">
        <w:rPr>
          <w:rFonts w:ascii="Arial" w:eastAsia="Times New Roman" w:hAnsi="Arial" w:cs="Arial"/>
          <w:b/>
          <w:bCs/>
          <w:color w:val="666666"/>
          <w:kern w:val="0"/>
          <w:sz w:val="27"/>
          <w:szCs w:val="27"/>
          <w:lang w:eastAsia="es-UY"/>
          <w14:ligatures w14:val="none"/>
        </w:rPr>
        <w:t>Jenofonte</w:t>
      </w:r>
      <w:r w:rsidRPr="00462844">
        <w:rPr>
          <w:rFonts w:ascii="Arial" w:eastAsia="Times New Roman" w:hAnsi="Arial" w:cs="Arial"/>
          <w:color w:val="666666"/>
          <w:kern w:val="0"/>
          <w:sz w:val="27"/>
          <w:szCs w:val="27"/>
          <w:lang w:eastAsia="es-UY"/>
          <w14:ligatures w14:val="none"/>
        </w:rPr>
        <w:t> , así como a través de las obras de su contemporáneo </w:t>
      </w:r>
      <w:hyperlink r:id="rId30" w:tgtFrame="_blank" w:history="1">
        <w:r w:rsidRPr="00462844">
          <w:rPr>
            <w:rFonts w:ascii="Arial" w:eastAsia="Times New Roman" w:hAnsi="Arial" w:cs="Arial"/>
            <w:color w:val="FC6B01"/>
            <w:kern w:val="0"/>
            <w:sz w:val="27"/>
            <w:szCs w:val="27"/>
            <w:u w:val="single"/>
            <w:lang w:eastAsia="es-UY"/>
            <w14:ligatures w14:val="none"/>
          </w:rPr>
          <w:t>Aristófanes</w:t>
        </w:r>
      </w:hyperlink>
      <w:r w:rsidRPr="00462844">
        <w:rPr>
          <w:rFonts w:ascii="Arial" w:eastAsia="Times New Roman" w:hAnsi="Arial" w:cs="Arial"/>
          <w:color w:val="666666"/>
          <w:kern w:val="0"/>
          <w:sz w:val="27"/>
          <w:szCs w:val="27"/>
          <w:lang w:eastAsia="es-UY"/>
          <w14:ligatures w14:val="none"/>
        </w:rPr>
        <w:t> . Muchos sostienen que los diálogos de </w:t>
      </w:r>
      <w:r w:rsidRPr="00462844">
        <w:rPr>
          <w:rFonts w:ascii="Arial" w:eastAsia="Times New Roman" w:hAnsi="Arial" w:cs="Arial"/>
          <w:b/>
          <w:bCs/>
          <w:color w:val="666666"/>
          <w:kern w:val="0"/>
          <w:sz w:val="27"/>
          <w:szCs w:val="27"/>
          <w:lang w:eastAsia="es-UY"/>
          <w14:ligatures w14:val="none"/>
        </w:rPr>
        <w:t>Platón</w:t>
      </w:r>
      <w:r w:rsidRPr="00462844">
        <w:rPr>
          <w:rFonts w:ascii="Arial" w:eastAsia="Times New Roman" w:hAnsi="Arial" w:cs="Arial"/>
          <w:color w:val="666666"/>
          <w:kern w:val="0"/>
          <w:sz w:val="27"/>
          <w:szCs w:val="27"/>
          <w:lang w:eastAsia="es-UY"/>
          <w14:ligatures w14:val="none"/>
        </w:rPr>
        <w:t> son el relato más completo sobre </w:t>
      </w:r>
      <w:r w:rsidRPr="00462844">
        <w:rPr>
          <w:rFonts w:ascii="Arial" w:eastAsia="Times New Roman" w:hAnsi="Arial" w:cs="Arial"/>
          <w:b/>
          <w:bCs/>
          <w:color w:val="666666"/>
          <w:kern w:val="0"/>
          <w:sz w:val="27"/>
          <w:szCs w:val="27"/>
          <w:lang w:eastAsia="es-UY"/>
          <w14:ligatures w14:val="none"/>
        </w:rPr>
        <w:t>Sócrates</w:t>
      </w:r>
      <w:r w:rsidRPr="00462844">
        <w:rPr>
          <w:rFonts w:ascii="Arial" w:eastAsia="Times New Roman" w:hAnsi="Arial" w:cs="Arial"/>
          <w:color w:val="666666"/>
          <w:kern w:val="0"/>
          <w:sz w:val="27"/>
          <w:szCs w:val="27"/>
          <w:lang w:eastAsia="es-UY"/>
          <w14:ligatures w14:val="none"/>
        </w:rPr>
        <w:t> que ha sobrevivido desde la Antigüedad hasta nuestros días.</w:t>
      </w:r>
    </w:p>
    <w:p w14:paraId="6A3B4D4A"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p>
    <w:p w14:paraId="179023C4" w14:textId="77777777" w:rsidR="00462844" w:rsidRPr="00462844" w:rsidRDefault="00462844" w:rsidP="00462844">
      <w:pPr>
        <w:spacing w:after="0" w:line="240" w:lineRule="auto"/>
        <w:jc w:val="both"/>
        <w:rPr>
          <w:rFonts w:ascii="Arial" w:eastAsia="Times New Roman" w:hAnsi="Arial" w:cs="Arial"/>
          <w:color w:val="666666"/>
          <w:kern w:val="0"/>
          <w:sz w:val="27"/>
          <w:szCs w:val="27"/>
          <w:lang w:eastAsia="es-UY"/>
          <w14:ligatures w14:val="none"/>
        </w:rPr>
      </w:pPr>
      <w:r w:rsidRPr="00462844">
        <w:rPr>
          <w:rFonts w:ascii="Arial" w:eastAsia="Times New Roman" w:hAnsi="Arial" w:cs="Arial"/>
          <w:color w:val="666666"/>
          <w:kern w:val="0"/>
          <w:sz w:val="27"/>
          <w:szCs w:val="27"/>
          <w:lang w:eastAsia="es-UY"/>
          <w14:ligatures w14:val="none"/>
        </w:rPr>
        <w:t>(5) </w:t>
      </w:r>
      <w:r w:rsidRPr="00462844">
        <w:rPr>
          <w:rFonts w:ascii="Arial" w:eastAsia="Times New Roman" w:hAnsi="Arial" w:cs="Arial"/>
          <w:b/>
          <w:bCs/>
          <w:color w:val="666666"/>
          <w:kern w:val="0"/>
          <w:sz w:val="27"/>
          <w:szCs w:val="27"/>
          <w:lang w:eastAsia="es-UY"/>
          <w14:ligatures w14:val="none"/>
        </w:rPr>
        <w:t>Michel Foucault</w:t>
      </w:r>
      <w:r w:rsidRPr="00462844">
        <w:rPr>
          <w:rFonts w:ascii="Arial" w:eastAsia="Times New Roman" w:hAnsi="Arial" w:cs="Arial"/>
          <w:color w:val="666666"/>
          <w:kern w:val="0"/>
          <w:sz w:val="27"/>
          <w:szCs w:val="27"/>
          <w:lang w:eastAsia="es-UY"/>
          <w14:ligatures w14:val="none"/>
        </w:rPr>
        <w:t> (1926-1984): filósofo, historiador de las ideas, teórico social, filólogo, crítico literario y profesor de la cátedra de Historia de los Sistemas de Pensamiento en el célebre </w:t>
      </w:r>
      <w:proofErr w:type="spellStart"/>
      <w:r w:rsidRPr="00462844">
        <w:rPr>
          <w:rFonts w:ascii="Arial" w:eastAsia="Times New Roman" w:hAnsi="Arial" w:cs="Arial"/>
          <w:i/>
          <w:iCs/>
          <w:color w:val="666666"/>
          <w:kern w:val="0"/>
          <w:sz w:val="27"/>
          <w:szCs w:val="27"/>
          <w:lang w:eastAsia="es-UY"/>
          <w14:ligatures w14:val="none"/>
        </w:rPr>
        <w:t>Collège</w:t>
      </w:r>
      <w:proofErr w:type="spellEnd"/>
      <w:r w:rsidRPr="00462844">
        <w:rPr>
          <w:rFonts w:ascii="Arial" w:eastAsia="Times New Roman" w:hAnsi="Arial" w:cs="Arial"/>
          <w:i/>
          <w:iCs/>
          <w:color w:val="666666"/>
          <w:kern w:val="0"/>
          <w:sz w:val="27"/>
          <w:szCs w:val="27"/>
          <w:lang w:eastAsia="es-UY"/>
          <w14:ligatures w14:val="none"/>
        </w:rPr>
        <w:t xml:space="preserve"> de France</w:t>
      </w:r>
      <w:r w:rsidRPr="00462844">
        <w:rPr>
          <w:rFonts w:ascii="Arial" w:eastAsia="Times New Roman" w:hAnsi="Arial" w:cs="Arial"/>
          <w:color w:val="666666"/>
          <w:kern w:val="0"/>
          <w:sz w:val="27"/>
          <w:szCs w:val="27"/>
          <w:lang w:eastAsia="es-UY"/>
          <w14:ligatures w14:val="none"/>
        </w:rPr>
        <w:t> , de 1970 a 1984 (año de su muerte). Sus teorías abordan la relación entre el poder y el conocimiento y cómo se utilizan como una forma de control social a través de las instituciones sociales. Aunque a menudo se lo califica de postestructuralista y posmodernista, </w:t>
      </w:r>
      <w:r w:rsidRPr="00462844">
        <w:rPr>
          <w:rFonts w:ascii="Arial" w:eastAsia="Times New Roman" w:hAnsi="Arial" w:cs="Arial"/>
          <w:b/>
          <w:bCs/>
          <w:color w:val="666666"/>
          <w:kern w:val="0"/>
          <w:sz w:val="27"/>
          <w:szCs w:val="27"/>
          <w:lang w:eastAsia="es-UY"/>
          <w14:ligatures w14:val="none"/>
        </w:rPr>
        <w:t>Foucault</w:t>
      </w:r>
      <w:r w:rsidRPr="00462844">
        <w:rPr>
          <w:rFonts w:ascii="Arial" w:eastAsia="Times New Roman" w:hAnsi="Arial" w:cs="Arial"/>
          <w:color w:val="666666"/>
          <w:kern w:val="0"/>
          <w:sz w:val="27"/>
          <w:szCs w:val="27"/>
          <w:lang w:eastAsia="es-UY"/>
          <w14:ligatures w14:val="none"/>
        </w:rPr>
        <w:t xml:space="preserve"> finalmente rechazó estas etiquetas y prefirió clasificar su pensamiento como una historia crítica de la modernidad. Su pensamiento fue muy influyente </w:t>
      </w:r>
      <w:r w:rsidRPr="00462844">
        <w:rPr>
          <w:rFonts w:ascii="Arial" w:eastAsia="Times New Roman" w:hAnsi="Arial" w:cs="Arial"/>
          <w:color w:val="666666"/>
          <w:kern w:val="0"/>
          <w:sz w:val="27"/>
          <w:szCs w:val="27"/>
          <w:lang w:eastAsia="es-UY"/>
          <w14:ligatures w14:val="none"/>
        </w:rPr>
        <w:lastRenderedPageBreak/>
        <w:t>tanto para grupos académicos como activistas. Sobre su pensamiento, consulte las siguientes ediciones de la </w:t>
      </w:r>
      <w:r w:rsidRPr="00462844">
        <w:rPr>
          <w:rFonts w:ascii="Arial" w:eastAsia="Times New Roman" w:hAnsi="Arial" w:cs="Arial"/>
          <w:b/>
          <w:bCs/>
          <w:color w:val="666666"/>
          <w:kern w:val="0"/>
          <w:sz w:val="27"/>
          <w:szCs w:val="27"/>
          <w:lang w:eastAsia="es-UY"/>
          <w14:ligatures w14:val="none"/>
        </w:rPr>
        <w:t>Revista On-Line del IHU: Edición 466</w:t>
      </w:r>
      <w:r w:rsidRPr="00462844">
        <w:rPr>
          <w:rFonts w:ascii="Arial" w:eastAsia="Times New Roman" w:hAnsi="Arial" w:cs="Arial"/>
          <w:color w:val="666666"/>
          <w:kern w:val="0"/>
          <w:sz w:val="27"/>
          <w:szCs w:val="27"/>
          <w:lang w:eastAsia="es-UY"/>
          <w14:ligatures w14:val="none"/>
        </w:rPr>
        <w:t> , del 01-06-2015: </w:t>
      </w:r>
      <w:r w:rsidRPr="00462844">
        <w:rPr>
          <w:rFonts w:ascii="Arial" w:eastAsia="Times New Roman" w:hAnsi="Arial" w:cs="Arial"/>
          <w:b/>
          <w:bCs/>
          <w:color w:val="666666"/>
          <w:kern w:val="0"/>
          <w:sz w:val="27"/>
          <w:szCs w:val="27"/>
          <w:lang w:eastAsia="es-UY"/>
          <w14:ligatures w14:val="none"/>
        </w:rPr>
        <w:t>Michel Foucault, el cuidado de sí y el gobierno de sí (</w:t>
      </w:r>
      <w:proofErr w:type="spellStart"/>
      <w:r w:rsidRPr="00462844">
        <w:rPr>
          <w:rFonts w:ascii="Arial" w:eastAsia="Times New Roman" w:hAnsi="Arial" w:cs="Arial"/>
          <w:b/>
          <w:bCs/>
          <w:color w:val="666666"/>
          <w:kern w:val="0"/>
          <w:sz w:val="27"/>
          <w:szCs w:val="27"/>
          <w:lang w:eastAsia="es-UY"/>
          <w14:ligatures w14:val="none"/>
        </w:rPr>
        <w:t>enkrateia</w:t>
      </w:r>
      <w:proofErr w:type="spellEnd"/>
      <w:r w:rsidRPr="00462844">
        <w:rPr>
          <w:rFonts w:ascii="Arial" w:eastAsia="Times New Roman" w:hAnsi="Arial" w:cs="Arial"/>
          <w:b/>
          <w:bCs/>
          <w:color w:val="666666"/>
          <w:kern w:val="0"/>
          <w:sz w:val="27"/>
          <w:szCs w:val="27"/>
          <w:lang w:eastAsia="es-UY"/>
          <w14:ligatures w14:val="none"/>
        </w:rPr>
        <w:t>)</w:t>
      </w:r>
      <w:r w:rsidRPr="00462844">
        <w:rPr>
          <w:rFonts w:ascii="Arial" w:eastAsia="Times New Roman" w:hAnsi="Arial" w:cs="Arial"/>
          <w:color w:val="666666"/>
          <w:kern w:val="0"/>
          <w:sz w:val="27"/>
          <w:szCs w:val="27"/>
          <w:lang w:eastAsia="es-UY"/>
          <w14:ligatures w14:val="none"/>
        </w:rPr>
        <w:t> , disponible </w:t>
      </w:r>
      <w:hyperlink r:id="rId31"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Número 335</w:t>
      </w:r>
      <w:r w:rsidRPr="00462844">
        <w:rPr>
          <w:rFonts w:ascii="Arial" w:eastAsia="Times New Roman" w:hAnsi="Arial" w:cs="Arial"/>
          <w:color w:val="666666"/>
          <w:kern w:val="0"/>
          <w:sz w:val="27"/>
          <w:szCs w:val="27"/>
          <w:lang w:eastAsia="es-UY"/>
          <w14:ligatures w14:val="none"/>
        </w:rPr>
        <w:t> , 28-06-2010, </w:t>
      </w:r>
      <w:r w:rsidRPr="00462844">
        <w:rPr>
          <w:rFonts w:ascii="Arial" w:eastAsia="Times New Roman" w:hAnsi="Arial" w:cs="Arial"/>
          <w:b/>
          <w:bCs/>
          <w:color w:val="666666"/>
          <w:kern w:val="0"/>
          <w:sz w:val="27"/>
          <w:szCs w:val="27"/>
          <w:lang w:eastAsia="es-UY"/>
          <w14:ligatures w14:val="none"/>
        </w:rPr>
        <w:t>Cuerpo y sexualidad. Contribución de Michel Foucault</w:t>
      </w:r>
      <w:r w:rsidRPr="00462844">
        <w:rPr>
          <w:rFonts w:ascii="Arial" w:eastAsia="Times New Roman" w:hAnsi="Arial" w:cs="Arial"/>
          <w:color w:val="666666"/>
          <w:kern w:val="0"/>
          <w:sz w:val="27"/>
          <w:szCs w:val="27"/>
          <w:lang w:eastAsia="es-UY"/>
          <w14:ligatures w14:val="none"/>
        </w:rPr>
        <w:t> , disponible </w:t>
      </w:r>
      <w:hyperlink r:id="rId32"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 </w:t>
      </w:r>
      <w:r w:rsidRPr="00462844">
        <w:rPr>
          <w:rFonts w:ascii="Arial" w:eastAsia="Times New Roman" w:hAnsi="Arial" w:cs="Arial"/>
          <w:b/>
          <w:bCs/>
          <w:color w:val="666666"/>
          <w:kern w:val="0"/>
          <w:sz w:val="27"/>
          <w:szCs w:val="27"/>
          <w:lang w:eastAsia="es-UY"/>
          <w14:ligatures w14:val="none"/>
        </w:rPr>
        <w:t>Número 203</w:t>
      </w:r>
      <w:r w:rsidRPr="00462844">
        <w:rPr>
          <w:rFonts w:ascii="Arial" w:eastAsia="Times New Roman" w:hAnsi="Arial" w:cs="Arial"/>
          <w:color w:val="666666"/>
          <w:kern w:val="0"/>
          <w:sz w:val="27"/>
          <w:szCs w:val="27"/>
          <w:lang w:eastAsia="es-UY"/>
          <w14:ligatures w14:val="none"/>
        </w:rPr>
        <w:t> , 6/11/2006, </w:t>
      </w:r>
      <w:r w:rsidRPr="00462844">
        <w:rPr>
          <w:rFonts w:ascii="Arial" w:eastAsia="Times New Roman" w:hAnsi="Arial" w:cs="Arial"/>
          <w:b/>
          <w:bCs/>
          <w:color w:val="666666"/>
          <w:kern w:val="0"/>
          <w:sz w:val="27"/>
          <w:szCs w:val="27"/>
          <w:lang w:eastAsia="es-UY"/>
          <w14:ligatures w14:val="none"/>
        </w:rPr>
        <w:t>Michel Foucault, 80 años</w:t>
      </w:r>
      <w:r w:rsidRPr="00462844">
        <w:rPr>
          <w:rFonts w:ascii="Arial" w:eastAsia="Times New Roman" w:hAnsi="Arial" w:cs="Arial"/>
          <w:color w:val="666666"/>
          <w:kern w:val="0"/>
          <w:sz w:val="27"/>
          <w:szCs w:val="27"/>
          <w:lang w:eastAsia="es-UY"/>
          <w14:ligatures w14:val="none"/>
        </w:rPr>
        <w:t> , disponible </w:t>
      </w:r>
      <w:hyperlink r:id="rId33"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y </w:t>
      </w:r>
      <w:r w:rsidRPr="00462844">
        <w:rPr>
          <w:rFonts w:ascii="Arial" w:eastAsia="Times New Roman" w:hAnsi="Arial" w:cs="Arial"/>
          <w:b/>
          <w:bCs/>
          <w:color w:val="666666"/>
          <w:kern w:val="0"/>
          <w:sz w:val="27"/>
          <w:szCs w:val="27"/>
          <w:lang w:eastAsia="es-UY"/>
          <w14:ligatures w14:val="none"/>
        </w:rPr>
        <w:t>Número 119</w:t>
      </w:r>
      <w:r w:rsidRPr="00462844">
        <w:rPr>
          <w:rFonts w:ascii="Arial" w:eastAsia="Times New Roman" w:hAnsi="Arial" w:cs="Arial"/>
          <w:color w:val="666666"/>
          <w:kern w:val="0"/>
          <w:sz w:val="27"/>
          <w:szCs w:val="27"/>
          <w:lang w:eastAsia="es-UY"/>
          <w14:ligatures w14:val="none"/>
        </w:rPr>
        <w:t> , 18/10/2004, </w:t>
      </w:r>
      <w:r w:rsidRPr="00462844">
        <w:rPr>
          <w:rFonts w:ascii="Arial" w:eastAsia="Times New Roman" w:hAnsi="Arial" w:cs="Arial"/>
          <w:b/>
          <w:bCs/>
          <w:color w:val="666666"/>
          <w:kern w:val="0"/>
          <w:sz w:val="27"/>
          <w:szCs w:val="27"/>
          <w:lang w:eastAsia="es-UY"/>
          <w14:ligatures w14:val="none"/>
        </w:rPr>
        <w:t>Michel Foucault y las urgencias de hoy. 20 años después</w:t>
      </w:r>
      <w:r w:rsidRPr="00462844">
        <w:rPr>
          <w:rFonts w:ascii="Arial" w:eastAsia="Times New Roman" w:hAnsi="Arial" w:cs="Arial"/>
          <w:color w:val="666666"/>
          <w:kern w:val="0"/>
          <w:sz w:val="27"/>
          <w:szCs w:val="27"/>
          <w:lang w:eastAsia="es-UY"/>
          <w14:ligatures w14:val="none"/>
        </w:rPr>
        <w:t> , disponible </w:t>
      </w:r>
      <w:hyperlink r:id="rId34" w:tgtFrame="_blank" w:history="1">
        <w:r w:rsidRPr="00462844">
          <w:rPr>
            <w:rFonts w:ascii="Arial" w:eastAsia="Times New Roman" w:hAnsi="Arial" w:cs="Arial"/>
            <w:color w:val="FC6B01"/>
            <w:kern w:val="0"/>
            <w:sz w:val="27"/>
            <w:szCs w:val="27"/>
            <w:u w:val="single"/>
            <w:lang w:eastAsia="es-UY"/>
            <w14:ligatures w14:val="none"/>
          </w:rPr>
          <w:t>aquí</w:t>
        </w:r>
      </w:hyperlink>
      <w:r w:rsidRPr="00462844">
        <w:rPr>
          <w:rFonts w:ascii="Arial" w:eastAsia="Times New Roman" w:hAnsi="Arial" w:cs="Arial"/>
          <w:color w:val="666666"/>
          <w:kern w:val="0"/>
          <w:sz w:val="27"/>
          <w:szCs w:val="27"/>
          <w:lang w:eastAsia="es-UY"/>
          <w14:ligatures w14:val="none"/>
        </w:rPr>
        <w:t> .</w:t>
      </w:r>
    </w:p>
    <w:p w14:paraId="038C07B7" w14:textId="642BE618" w:rsidR="00926044" w:rsidRDefault="00462844">
      <w:hyperlink r:id="rId35" w:history="1">
        <w:r w:rsidRPr="002B28D9">
          <w:rPr>
            <w:rStyle w:val="Hipervnculo"/>
          </w:rPr>
          <w:t>https://www.ihu.unisinos.br/650893-o-nexo-entre-neofascismo-e-neoliberalismo-e-a-criacao-sistematica-de-crises-entrevista-especial-com-adriano-correia-silva?utm_campaign=newsletter_ihu__16-04-2025&amp;utm_medium=email&amp;utm_source=RD+Station</w:t>
        </w:r>
      </w:hyperlink>
    </w:p>
    <w:p w14:paraId="67BE6B6D" w14:textId="77777777" w:rsidR="00462844" w:rsidRDefault="00462844"/>
    <w:sectPr w:rsidR="004628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44"/>
    <w:rsid w:val="00462844"/>
    <w:rsid w:val="00926044"/>
    <w:rsid w:val="00A55AFD"/>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3A5E"/>
  <w15:chartTrackingRefBased/>
  <w15:docId w15:val="{41E82559-F7D8-4AE1-9D9B-629C4678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2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62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628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628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628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6284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284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284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284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284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6284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6284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6284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6284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6284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284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284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2844"/>
    <w:rPr>
      <w:rFonts w:eastAsiaTheme="majorEastAsia" w:cstheme="majorBidi"/>
      <w:color w:val="272727" w:themeColor="text1" w:themeTint="D8"/>
    </w:rPr>
  </w:style>
  <w:style w:type="paragraph" w:styleId="Ttulo">
    <w:name w:val="Title"/>
    <w:basedOn w:val="Normal"/>
    <w:next w:val="Normal"/>
    <w:link w:val="TtuloCar"/>
    <w:uiPriority w:val="10"/>
    <w:qFormat/>
    <w:rsid w:val="004628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6284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284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284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2844"/>
    <w:pPr>
      <w:spacing w:before="160"/>
      <w:jc w:val="center"/>
    </w:pPr>
    <w:rPr>
      <w:i/>
      <w:iCs/>
      <w:color w:val="404040" w:themeColor="text1" w:themeTint="BF"/>
    </w:rPr>
  </w:style>
  <w:style w:type="character" w:customStyle="1" w:styleId="CitaCar">
    <w:name w:val="Cita Car"/>
    <w:basedOn w:val="Fuentedeprrafopredeter"/>
    <w:link w:val="Cita"/>
    <w:uiPriority w:val="29"/>
    <w:rsid w:val="00462844"/>
    <w:rPr>
      <w:i/>
      <w:iCs/>
      <w:color w:val="404040" w:themeColor="text1" w:themeTint="BF"/>
    </w:rPr>
  </w:style>
  <w:style w:type="paragraph" w:styleId="Prrafodelista">
    <w:name w:val="List Paragraph"/>
    <w:basedOn w:val="Normal"/>
    <w:uiPriority w:val="34"/>
    <w:qFormat/>
    <w:rsid w:val="00462844"/>
    <w:pPr>
      <w:ind w:left="720"/>
      <w:contextualSpacing/>
    </w:pPr>
  </w:style>
  <w:style w:type="character" w:styleId="nfasisintenso">
    <w:name w:val="Intense Emphasis"/>
    <w:basedOn w:val="Fuentedeprrafopredeter"/>
    <w:uiPriority w:val="21"/>
    <w:qFormat/>
    <w:rsid w:val="00462844"/>
    <w:rPr>
      <w:i/>
      <w:iCs/>
      <w:color w:val="0F4761" w:themeColor="accent1" w:themeShade="BF"/>
    </w:rPr>
  </w:style>
  <w:style w:type="paragraph" w:styleId="Citadestacada">
    <w:name w:val="Intense Quote"/>
    <w:basedOn w:val="Normal"/>
    <w:next w:val="Normal"/>
    <w:link w:val="CitadestacadaCar"/>
    <w:uiPriority w:val="30"/>
    <w:qFormat/>
    <w:rsid w:val="00462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62844"/>
    <w:rPr>
      <w:i/>
      <w:iCs/>
      <w:color w:val="0F4761" w:themeColor="accent1" w:themeShade="BF"/>
    </w:rPr>
  </w:style>
  <w:style w:type="character" w:styleId="Referenciaintensa">
    <w:name w:val="Intense Reference"/>
    <w:basedOn w:val="Fuentedeprrafopredeter"/>
    <w:uiPriority w:val="32"/>
    <w:qFormat/>
    <w:rsid w:val="00462844"/>
    <w:rPr>
      <w:b/>
      <w:bCs/>
      <w:smallCaps/>
      <w:color w:val="0F4761" w:themeColor="accent1" w:themeShade="BF"/>
      <w:spacing w:val="5"/>
    </w:rPr>
  </w:style>
  <w:style w:type="character" w:styleId="Hipervnculo">
    <w:name w:val="Hyperlink"/>
    <w:basedOn w:val="Fuentedeprrafopredeter"/>
    <w:uiPriority w:val="99"/>
    <w:unhideWhenUsed/>
    <w:rsid w:val="00462844"/>
    <w:rPr>
      <w:color w:val="467886" w:themeColor="hyperlink"/>
      <w:u w:val="single"/>
    </w:rPr>
  </w:style>
  <w:style w:type="character" w:styleId="Mencinsinresolver">
    <w:name w:val="Unresolved Mention"/>
    <w:basedOn w:val="Fuentedeprrafopredeter"/>
    <w:uiPriority w:val="99"/>
    <w:semiHidden/>
    <w:unhideWhenUsed/>
    <w:rsid w:val="00462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464364">
      <w:bodyDiv w:val="1"/>
      <w:marLeft w:val="0"/>
      <w:marRight w:val="0"/>
      <w:marTop w:val="0"/>
      <w:marBottom w:val="0"/>
      <w:divBdr>
        <w:top w:val="none" w:sz="0" w:space="0" w:color="auto"/>
        <w:left w:val="none" w:sz="0" w:space="0" w:color="auto"/>
        <w:bottom w:val="none" w:sz="0" w:space="0" w:color="auto"/>
        <w:right w:val="none" w:sz="0" w:space="0" w:color="auto"/>
      </w:divBdr>
      <w:divsChild>
        <w:div w:id="2027318042">
          <w:marLeft w:val="0"/>
          <w:marRight w:val="0"/>
          <w:marTop w:val="0"/>
          <w:marBottom w:val="0"/>
          <w:divBdr>
            <w:top w:val="none" w:sz="0" w:space="0" w:color="auto"/>
            <w:left w:val="none" w:sz="0" w:space="0" w:color="auto"/>
            <w:bottom w:val="none" w:sz="0" w:space="0" w:color="auto"/>
            <w:right w:val="none" w:sz="0" w:space="0" w:color="auto"/>
          </w:divBdr>
        </w:div>
        <w:div w:id="2017268283">
          <w:marLeft w:val="0"/>
          <w:marRight w:val="0"/>
          <w:marTop w:val="0"/>
          <w:marBottom w:val="0"/>
          <w:divBdr>
            <w:top w:val="none" w:sz="0" w:space="0" w:color="auto"/>
            <w:left w:val="none" w:sz="0" w:space="0" w:color="auto"/>
            <w:bottom w:val="none" w:sz="0" w:space="0" w:color="auto"/>
            <w:right w:val="none" w:sz="0" w:space="0" w:color="auto"/>
          </w:divBdr>
        </w:div>
        <w:div w:id="1768958854">
          <w:marLeft w:val="0"/>
          <w:marRight w:val="0"/>
          <w:marTop w:val="450"/>
          <w:marBottom w:val="450"/>
          <w:divBdr>
            <w:top w:val="single" w:sz="12" w:space="11" w:color="DDDDDD"/>
            <w:left w:val="none" w:sz="0" w:space="0" w:color="auto"/>
            <w:bottom w:val="single" w:sz="12" w:space="11" w:color="DDDDDD"/>
            <w:right w:val="none" w:sz="0" w:space="0" w:color="auto"/>
          </w:divBdr>
        </w:div>
        <w:div w:id="1321467936">
          <w:marLeft w:val="0"/>
          <w:marRight w:val="0"/>
          <w:marTop w:val="450"/>
          <w:marBottom w:val="450"/>
          <w:divBdr>
            <w:top w:val="single" w:sz="12" w:space="11" w:color="DDDDDD"/>
            <w:left w:val="none" w:sz="0" w:space="0" w:color="auto"/>
            <w:bottom w:val="single" w:sz="12" w:space="11" w:color="DDDDDD"/>
            <w:right w:val="none" w:sz="0" w:space="0" w:color="auto"/>
          </w:divBdr>
        </w:div>
        <w:div w:id="1513495881">
          <w:marLeft w:val="0"/>
          <w:marRight w:val="0"/>
          <w:marTop w:val="450"/>
          <w:marBottom w:val="450"/>
          <w:divBdr>
            <w:top w:val="single" w:sz="12" w:space="11" w:color="DDDDDD"/>
            <w:left w:val="none" w:sz="0" w:space="0" w:color="auto"/>
            <w:bottom w:val="single" w:sz="12" w:space="11" w:color="DDDDDD"/>
            <w:right w:val="none" w:sz="0" w:space="0" w:color="auto"/>
          </w:divBdr>
        </w:div>
        <w:div w:id="484515627">
          <w:marLeft w:val="0"/>
          <w:marRight w:val="0"/>
          <w:marTop w:val="450"/>
          <w:marBottom w:val="450"/>
          <w:divBdr>
            <w:top w:val="single" w:sz="12" w:space="11" w:color="DDDDDD"/>
            <w:left w:val="none" w:sz="0" w:space="0" w:color="auto"/>
            <w:bottom w:val="single" w:sz="12" w:space="11" w:color="DDDDDD"/>
            <w:right w:val="none" w:sz="0" w:space="0" w:color="auto"/>
          </w:divBdr>
        </w:div>
        <w:div w:id="1474371922">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615672-nao-olhe-para-cima-a-banalidade-do-mal-digital-artigo-de-paolo-benanti" TargetMode="External"/><Relationship Id="rId18" Type="http://schemas.openxmlformats.org/officeDocument/2006/relationships/hyperlink" Target="https://www.ihu.unisinos.br/categorias/598796-chegou-a-hora-de-repensar-o-que-e-a-liberdade-artigo-de-gianfranco-pasquino" TargetMode="External"/><Relationship Id="rId26" Type="http://schemas.openxmlformats.org/officeDocument/2006/relationships/hyperlink" Target="https://www.ihuonline.unisinos.br/edicao/93" TargetMode="External"/><Relationship Id="rId21" Type="http://schemas.openxmlformats.org/officeDocument/2006/relationships/hyperlink" Target="https://www.ihu.unisinos.br/598157-pandemia-e-as-falacias-do-homo-%20economicus" TargetMode="External"/><Relationship Id="rId34" Type="http://schemas.openxmlformats.org/officeDocument/2006/relationships/hyperlink" Target="https://www.ihuonline.unisinos.br/edicao/119" TargetMode="External"/><Relationship Id="rId7" Type="http://schemas.openxmlformats.org/officeDocument/2006/relationships/hyperlink" Target="https://www.ihu.unisinos.br/categorias/605347-hannah-arendt-como-a-solidao-alimenta-o-autoritarismo" TargetMode="External"/><Relationship Id="rId12" Type="http://schemas.openxmlformats.org/officeDocument/2006/relationships/hyperlink" Target="https://www.ihu.unisinos.br/categorias/193-jornalismo-experimental/637280-zona-de-interesse-e-a-banalidade-do-mal-artigo-de-alexandre-francisco" TargetMode="External"/><Relationship Id="rId17" Type="http://schemas.openxmlformats.org/officeDocument/2006/relationships/hyperlink" Target="https://ihu.unisinos.br/categorias/640674-40-anos-da-morte-de-michel-foucault" TargetMode="External"/><Relationship Id="rId25" Type="http://schemas.openxmlformats.org/officeDocument/2006/relationships/hyperlink" Target="https://www.ihuonline.unisinos.br/media/pdf/IHUOnlineEdicao438.pdf" TargetMode="External"/><Relationship Id="rId33" Type="http://schemas.openxmlformats.org/officeDocument/2006/relationships/hyperlink" Target="https://www.ihuonline.unisinos.br/edicao/203" TargetMode="External"/><Relationship Id="rId2" Type="http://schemas.openxmlformats.org/officeDocument/2006/relationships/settings" Target="settings.xml"/><Relationship Id="rId16" Type="http://schemas.openxmlformats.org/officeDocument/2006/relationships/hyperlink" Target="https://www.ihu.unisinos.br/noticias/528869-a-companhia-de-jesus-nos-dois-seculos-desde-a-crise-ao-papado-1814-2014" TargetMode="External"/><Relationship Id="rId20" Type="http://schemas.openxmlformats.org/officeDocument/2006/relationships/hyperlink" Target="https://ihu.unisinos.br/646582-do-globalismo-ao-neofascismo-artigo-de-wolfgang-streeck" TargetMode="External"/><Relationship Id="rId29" Type="http://schemas.openxmlformats.org/officeDocument/2006/relationships/hyperlink" Target="https://www.ihu.unisinos.br/categorias/600726-platao-e-a-sombra-de-socrates" TargetMode="External"/><Relationship Id="rId1" Type="http://schemas.openxmlformats.org/officeDocument/2006/relationships/styles" Target="styles.xml"/><Relationship Id="rId6" Type="http://schemas.openxmlformats.org/officeDocument/2006/relationships/hyperlink" Target="https://www.ihu.unisinos.br/categorias/599357-hannah-arendt-o-caminho-para-o-humano" TargetMode="External"/><Relationship Id="rId11" Type="http://schemas.openxmlformats.org/officeDocument/2006/relationships/hyperlink" Target="https://www.ihu.unisinos.br/categorias/587990-as-origens-ideologicas-do-nazismo" TargetMode="External"/><Relationship Id="rId24" Type="http://schemas.openxmlformats.org/officeDocument/2006/relationships/hyperlink" Target="https://www.ihu.unisinos.br/categorias/616017-o-exterminio-na-hora-do-almoco-artigo-de-corrado-augias" TargetMode="External"/><Relationship Id="rId32" Type="http://schemas.openxmlformats.org/officeDocument/2006/relationships/hyperlink" Target="https://www.ihuonline.unisinos.br/edicao/335" TargetMode="External"/><Relationship Id="rId37" Type="http://schemas.openxmlformats.org/officeDocument/2006/relationships/theme" Target="theme/theme1.xml"/><Relationship Id="rId5" Type="http://schemas.openxmlformats.org/officeDocument/2006/relationships/hyperlink" Target="https://www.ihu.unisinos.br/categorias/170-noticias-2014/529406-o-mal-que-desafia-a-logica-consideracoes-de-arendt-sobre-eichmann" TargetMode="External"/><Relationship Id="rId15" Type="http://schemas.openxmlformats.org/officeDocument/2006/relationships/hyperlink" Target="https://www.ihu.unisinos.br/574254" TargetMode="External"/><Relationship Id="rId23" Type="http://schemas.openxmlformats.org/officeDocument/2006/relationships/hyperlink" Target="https://www.ihuonline.unisinos.br/edicao/206" TargetMode="External"/><Relationship Id="rId28" Type="http://schemas.openxmlformats.org/officeDocument/2006/relationships/hyperlink" Target="https://ihu.unisinos.br/categorias/601149-socrates-e-jesus-de-novo-sob-processo" TargetMode="External"/><Relationship Id="rId36" Type="http://schemas.openxmlformats.org/officeDocument/2006/relationships/fontTable" Target="fontTable.xml"/><Relationship Id="rId10" Type="http://schemas.openxmlformats.org/officeDocument/2006/relationships/hyperlink" Target="https://www.ihu.unisinos.br/categorias/171-noticias-2013/521374-adolf-eichmann-o-homem-sem-qualidades" TargetMode="External"/><Relationship Id="rId19" Type="http://schemas.openxmlformats.org/officeDocument/2006/relationships/hyperlink" Target="https://www.ihu.unisinos.br/categorias/185-noticias-2016/560942-pinochet-o-governante-mais-violento-e-criminoso-da-historia-do-chile" TargetMode="External"/><Relationship Id="rId31" Type="http://schemas.openxmlformats.org/officeDocument/2006/relationships/hyperlink" Target="https://www.ihuonline.unisinos.br/edicao/466"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www.ihu.unisinos.br/images/stories/cadernos/formacao/002cadernosihuemformacao.pdf" TargetMode="External"/><Relationship Id="rId22" Type="http://schemas.openxmlformats.org/officeDocument/2006/relationships/hyperlink" Target="https://www.ihu.unisinos.br/categorias/169-noticias-2015/541858-hannah-arendt-e-a-modernidade-politica-economia-e-a-disputa-por-uma-fronteira" TargetMode="External"/><Relationship Id="rId27" Type="http://schemas.openxmlformats.org/officeDocument/2006/relationships/hyperlink" Target="https://www.ihuonline.unisinos.br/edicao/417" TargetMode="External"/><Relationship Id="rId30" Type="http://schemas.openxmlformats.org/officeDocument/2006/relationships/hyperlink" Target="https://www.ihu.unisinos.br/categorias/616916-onde-estas-lisistrata-artigo-de-anita-prati" TargetMode="External"/><Relationship Id="rId35" Type="http://schemas.openxmlformats.org/officeDocument/2006/relationships/hyperlink" Target="https://www.ihu.unisinos.br/650893-o-nexo-entre-neofascismo-e-neoliberalismo-e-a-criacao-sistematica-de-crises-entrevista-especial-com-adriano-correia-silva?utm_campaign=newsletter_ihu__16-04-2025&amp;utm_medium=email&amp;utm_source=RD+Station" TargetMode="External"/><Relationship Id="rId8" Type="http://schemas.openxmlformats.org/officeDocument/2006/relationships/hyperlink" Target="https://ihu.unisinos.br/606462-antes-de-jerusalem-eichmann-em-%20buenos-aires-ou-a-mundanidade-do-mal" TargetMode="External"/><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4905</Words>
  <Characters>26983</Characters>
  <Application>Microsoft Office Word</Application>
  <DocSecurity>0</DocSecurity>
  <Lines>224</Lines>
  <Paragraphs>63</Paragraphs>
  <ScaleCrop>false</ScaleCrop>
  <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2025-04-16T17:41:00Z</dcterms:created>
  <dcterms:modified xsi:type="dcterms:W3CDTF">2025-04-16T17:45:00Z</dcterms:modified>
</cp:coreProperties>
</file>