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E2439" w14:textId="77777777" w:rsidR="00523EE2" w:rsidRPr="00523EE2" w:rsidRDefault="00523EE2" w:rsidP="00523EE2">
      <w:pPr>
        <w:shd w:val="clear" w:color="auto" w:fill="FFFFFF"/>
        <w:spacing w:after="0" w:line="240" w:lineRule="auto"/>
        <w:jc w:val="both"/>
        <w:textAlignment w:val="baseline"/>
        <w:outlineLvl w:val="0"/>
        <w:rPr>
          <w:rFonts w:ascii="Fira Sans Condensed" w:eastAsia="Times New Roman" w:hAnsi="Fira Sans Condensed" w:cs="Times New Roman"/>
          <w:b/>
          <w:bCs/>
          <w:color w:val="002E42"/>
          <w:kern w:val="36"/>
          <w:sz w:val="72"/>
          <w:szCs w:val="72"/>
          <w:lang w:eastAsia="es-UY"/>
          <w14:ligatures w14:val="none"/>
        </w:rPr>
      </w:pPr>
      <w:r w:rsidRPr="00523EE2">
        <w:rPr>
          <w:rFonts w:ascii="Fira Sans Condensed" w:eastAsia="Times New Roman" w:hAnsi="Fira Sans Condensed" w:cs="Times New Roman"/>
          <w:b/>
          <w:bCs/>
          <w:color w:val="002E42"/>
          <w:kern w:val="36"/>
          <w:sz w:val="72"/>
          <w:szCs w:val="72"/>
          <w:lang w:eastAsia="es-UY"/>
          <w14:ligatures w14:val="none"/>
        </w:rPr>
        <w:t>Economía circular: Convertir pasivos urbanos en activos a través de la renovación urbana</w:t>
      </w:r>
    </w:p>
    <w:p w14:paraId="4D0084E9" w14:textId="77777777" w:rsidR="00523EE2" w:rsidRPr="00523EE2" w:rsidRDefault="00523EE2" w:rsidP="00523EE2">
      <w:pPr>
        <w:shd w:val="clear" w:color="auto" w:fill="FFFFFF"/>
        <w:spacing w:after="0" w:line="240" w:lineRule="auto"/>
        <w:jc w:val="both"/>
        <w:textAlignment w:val="baseline"/>
        <w:rPr>
          <w:rFonts w:ascii="Fira Sans Condensed" w:eastAsia="Times New Roman" w:hAnsi="Fira Sans Condensed" w:cs="Times New Roman"/>
          <w:b/>
          <w:bCs/>
          <w:color w:val="808080"/>
          <w:spacing w:val="-5"/>
          <w:kern w:val="0"/>
          <w:sz w:val="21"/>
          <w:szCs w:val="21"/>
          <w:lang w:eastAsia="es-UY"/>
          <w14:ligatures w14:val="none"/>
        </w:rPr>
      </w:pPr>
      <w:r w:rsidRPr="00523EE2">
        <w:rPr>
          <w:rFonts w:ascii="Fira Sans Condensed" w:eastAsia="Times New Roman" w:hAnsi="Fira Sans Condensed" w:cs="Times New Roman"/>
          <w:b/>
          <w:bCs/>
          <w:color w:val="808080"/>
          <w:spacing w:val="-5"/>
          <w:kern w:val="0"/>
          <w:sz w:val="21"/>
          <w:szCs w:val="21"/>
          <w:lang w:eastAsia="es-UY"/>
          <w14:ligatures w14:val="none"/>
        </w:rPr>
        <w:t>2025-03-31</w:t>
      </w:r>
    </w:p>
    <w:p w14:paraId="27F7BD95" w14:textId="77777777" w:rsidR="00523EE2" w:rsidRPr="00523EE2" w:rsidRDefault="00523EE2" w:rsidP="00523EE2">
      <w:pPr>
        <w:shd w:val="clear" w:color="auto" w:fill="FFFFFF"/>
        <w:spacing w:after="0" w:line="240" w:lineRule="auto"/>
        <w:jc w:val="both"/>
        <w:textAlignment w:val="baseline"/>
        <w:rPr>
          <w:rFonts w:ascii="inherit" w:eastAsia="Times New Roman" w:hAnsi="inherit" w:cs="Times New Roman"/>
          <w:color w:val="000000"/>
          <w:kern w:val="0"/>
          <w:sz w:val="24"/>
          <w:szCs w:val="24"/>
          <w:lang w:eastAsia="es-UY"/>
          <w14:ligatures w14:val="none"/>
        </w:rPr>
      </w:pPr>
      <w:r w:rsidRPr="00523EE2">
        <w:rPr>
          <w:rFonts w:ascii="inherit" w:eastAsia="Times New Roman" w:hAnsi="inherit" w:cs="Times New Roman"/>
          <w:noProof/>
          <w:color w:val="000000"/>
          <w:kern w:val="0"/>
          <w:sz w:val="24"/>
          <w:szCs w:val="24"/>
          <w:lang w:eastAsia="es-UY"/>
          <w14:ligatures w14:val="none"/>
        </w:rPr>
        <w:drawing>
          <wp:inline distT="0" distB="0" distL="0" distR="0" wp14:anchorId="05EA47BF" wp14:editId="3CE3F6F1">
            <wp:extent cx="5168900" cy="2495492"/>
            <wp:effectExtent l="0" t="0" r="0" b="635"/>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6647" cy="2504060"/>
                    </a:xfrm>
                    <a:prstGeom prst="rect">
                      <a:avLst/>
                    </a:prstGeom>
                    <a:noFill/>
                    <a:ln>
                      <a:noFill/>
                    </a:ln>
                  </pic:spPr>
                </pic:pic>
              </a:graphicData>
            </a:graphic>
          </wp:inline>
        </w:drawing>
      </w:r>
    </w:p>
    <w:p w14:paraId="6630B5EC" w14:textId="77777777" w:rsidR="00523EE2" w:rsidRPr="00523EE2" w:rsidRDefault="00523EE2" w:rsidP="00523EE2">
      <w:pPr>
        <w:shd w:val="clear" w:color="auto" w:fill="FFFFFF"/>
        <w:spacing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Fira Sans Condensed" w:eastAsia="Times New Roman" w:hAnsi="Fira Sans Condensed" w:cs="Times New Roman"/>
          <w:color w:val="333333"/>
          <w:kern w:val="0"/>
          <w:sz w:val="23"/>
          <w:szCs w:val="23"/>
          <w:lang w:eastAsia="es-UY"/>
          <w14:ligatures w14:val="none"/>
        </w:rPr>
        <w:t>.</w:t>
      </w:r>
    </w:p>
    <w:p w14:paraId="75C012CC"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Fira Sans Condensed" w:eastAsia="Times New Roman" w:hAnsi="Fira Sans Condensed" w:cs="Times New Roman"/>
          <w:color w:val="333333"/>
          <w:kern w:val="0"/>
          <w:sz w:val="23"/>
          <w:szCs w:val="23"/>
          <w:lang w:eastAsia="es-UY"/>
          <w14:ligatures w14:val="none"/>
        </w:rPr>
        <w:t> </w:t>
      </w:r>
    </w:p>
    <w:p w14:paraId="649E03CF"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color w:val="333333"/>
          <w:kern w:val="0"/>
          <w:sz w:val="23"/>
          <w:szCs w:val="23"/>
          <w:bdr w:val="none" w:sz="0" w:space="0" w:color="auto" w:frame="1"/>
          <w:lang w:val="es-CL" w:eastAsia="es-UY"/>
          <w14:ligatures w14:val="none"/>
        </w:rPr>
        <w:t>En muchas ciudades de América Latina y el Caribe, las áreas centrales han sufrido un proceso de deterioro y abandono. El panorama actual varía según el contexto de cada país, pero una tendencia común es la existencia de grandes extensiones de suelo vacante en zonas urbanas consolidadas, así como edificios en desuso o con bajo nivel de ocupación. </w:t>
      </w:r>
    </w:p>
    <w:p w14:paraId="1D050507"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color w:val="333333"/>
          <w:kern w:val="0"/>
          <w:sz w:val="23"/>
          <w:szCs w:val="23"/>
          <w:bdr w:val="none" w:sz="0" w:space="0" w:color="auto" w:frame="1"/>
          <w:lang w:val="es-CL" w:eastAsia="es-UY"/>
          <w14:ligatures w14:val="none"/>
        </w:rPr>
        <w:t>Esta situación no solo representa una pérdida de oportunidades para el desarrollo urbano, sino que también contribuye a problemas sociales y ambientales como la expansión descontrolada de las ciudades y el aumento de las emisiones de carbono derivadas de nuevas construcciones. Frente a esta problemática, la implementación de estrategias de reciclaje urbano y circularidad emerge como una solución clave para transformar estos espacios que representan un pasivo para el poder público y para la sociedad, en activos urbanos funcionales y sustentables. </w:t>
      </w:r>
    </w:p>
    <w:p w14:paraId="649E9570"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b/>
          <w:bCs/>
          <w:color w:val="333333"/>
          <w:kern w:val="0"/>
          <w:sz w:val="23"/>
          <w:szCs w:val="23"/>
          <w:bdr w:val="none" w:sz="0" w:space="0" w:color="auto" w:frame="1"/>
          <w:lang w:val="es-CL" w:eastAsia="es-UY"/>
          <w14:ligatures w14:val="none"/>
        </w:rPr>
        <w:t>El enfoque de la economía circular en la renovación urbana</w:t>
      </w:r>
    </w:p>
    <w:p w14:paraId="32D7D6DC"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color w:val="333333"/>
          <w:kern w:val="0"/>
          <w:sz w:val="23"/>
          <w:szCs w:val="23"/>
          <w:bdr w:val="none" w:sz="0" w:space="0" w:color="auto" w:frame="1"/>
          <w:lang w:val="es-CL" w:eastAsia="es-UY"/>
          <w14:ligatures w14:val="none"/>
        </w:rPr>
        <w:t xml:space="preserve">El reciclaje urbano, entendido como la reutilización y optimización del suelo y las edificaciones existentes, es un pilar fundamental dentro de la economía circular aplicada al desarrollo urbano. Este enfoque promueve la prolongación de la vida útil de las construcciones mediante procesos de reconversión, adaptación y </w:t>
      </w:r>
      <w:proofErr w:type="spellStart"/>
      <w:r w:rsidRPr="00523EE2">
        <w:rPr>
          <w:rFonts w:ascii="inherit" w:eastAsia="Times New Roman" w:hAnsi="inherit" w:cs="Times New Roman"/>
          <w:color w:val="333333"/>
          <w:kern w:val="0"/>
          <w:sz w:val="23"/>
          <w:szCs w:val="23"/>
          <w:bdr w:val="none" w:sz="0" w:space="0" w:color="auto" w:frame="1"/>
          <w:lang w:val="es-CL" w:eastAsia="es-UY"/>
          <w14:ligatures w14:val="none"/>
        </w:rPr>
        <w:t>retrofitting</w:t>
      </w:r>
      <w:proofErr w:type="spellEnd"/>
      <w:r w:rsidRPr="00523EE2">
        <w:rPr>
          <w:rFonts w:ascii="inherit" w:eastAsia="Times New Roman" w:hAnsi="inherit" w:cs="Times New Roman"/>
          <w:color w:val="333333"/>
          <w:kern w:val="0"/>
          <w:sz w:val="23"/>
          <w:szCs w:val="23"/>
          <w:bdr w:val="none" w:sz="0" w:space="0" w:color="auto" w:frame="1"/>
          <w:lang w:val="es-CL" w:eastAsia="es-UY"/>
          <w14:ligatures w14:val="none"/>
        </w:rPr>
        <w:t xml:space="preserve">, </w:t>
      </w:r>
      <w:r w:rsidRPr="00523EE2">
        <w:rPr>
          <w:rFonts w:ascii="inherit" w:eastAsia="Times New Roman" w:hAnsi="inherit" w:cs="Times New Roman"/>
          <w:color w:val="333333"/>
          <w:kern w:val="0"/>
          <w:sz w:val="23"/>
          <w:szCs w:val="23"/>
          <w:bdr w:val="none" w:sz="0" w:space="0" w:color="auto" w:frame="1"/>
          <w:lang w:val="es-CL" w:eastAsia="es-UY"/>
          <w14:ligatures w14:val="none"/>
        </w:rPr>
        <w:lastRenderedPageBreak/>
        <w:t>integrando tecnologías y estrategias que permitan reducir la huella de carbono del sector construcción y de las ciudades.</w:t>
      </w:r>
    </w:p>
    <w:p w14:paraId="1D5A825A"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b/>
          <w:bCs/>
          <w:color w:val="333333"/>
          <w:kern w:val="0"/>
          <w:sz w:val="23"/>
          <w:szCs w:val="23"/>
          <w:bdr w:val="none" w:sz="0" w:space="0" w:color="auto" w:frame="1"/>
          <w:lang w:eastAsia="es-UY"/>
          <w14:ligatures w14:val="none"/>
        </w:rPr>
        <w:t>Entre los principales desafíos para implementar estrategias de reciclaje urbano destacan dos dimensiones clave:</w:t>
      </w:r>
    </w:p>
    <w:p w14:paraId="344774A9" w14:textId="77777777" w:rsidR="00523EE2" w:rsidRPr="00523EE2" w:rsidRDefault="00523EE2" w:rsidP="00523EE2">
      <w:pPr>
        <w:numPr>
          <w:ilvl w:val="0"/>
          <w:numId w:val="1"/>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eastAsia="es-UY"/>
          <w14:ligatures w14:val="none"/>
        </w:rPr>
        <w:t>Barreras institucionales y normativas</w:t>
      </w:r>
      <w:r w:rsidRPr="00523EE2">
        <w:rPr>
          <w:rFonts w:ascii="inherit" w:eastAsia="Times New Roman" w:hAnsi="inherit" w:cs="Times New Roman"/>
          <w:color w:val="000000"/>
          <w:kern w:val="0"/>
          <w:sz w:val="23"/>
          <w:szCs w:val="23"/>
          <w:lang w:eastAsia="es-UY"/>
          <w14:ligatures w14:val="none"/>
        </w:rPr>
        <w:t>, como rigideces legales y la falta de incentivos que obstaculizan la renovación de áreas centrales.</w:t>
      </w:r>
    </w:p>
    <w:p w14:paraId="3453598D" w14:textId="77777777" w:rsidR="00523EE2" w:rsidRPr="00523EE2" w:rsidRDefault="00523EE2" w:rsidP="00523EE2">
      <w:pPr>
        <w:numPr>
          <w:ilvl w:val="0"/>
          <w:numId w:val="1"/>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eastAsia="es-UY"/>
          <w14:ligatures w14:val="none"/>
        </w:rPr>
        <w:t>Barreras técnicas y sociales</w:t>
      </w:r>
      <w:r w:rsidRPr="00523EE2">
        <w:rPr>
          <w:rFonts w:ascii="inherit" w:eastAsia="Times New Roman" w:hAnsi="inherit" w:cs="Times New Roman"/>
          <w:color w:val="000000"/>
          <w:kern w:val="0"/>
          <w:sz w:val="23"/>
          <w:szCs w:val="23"/>
          <w:lang w:eastAsia="es-UY"/>
          <w14:ligatures w14:val="none"/>
        </w:rPr>
        <w:t>, entre ellas, el desconocimiento técnico y la resistencia al cambio por parte de algunos actores involucrados.</w:t>
      </w:r>
    </w:p>
    <w:p w14:paraId="7C9F4E1C"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b/>
          <w:bCs/>
          <w:color w:val="333333"/>
          <w:kern w:val="0"/>
          <w:sz w:val="23"/>
          <w:szCs w:val="23"/>
          <w:bdr w:val="none" w:sz="0" w:space="0" w:color="auto" w:frame="1"/>
          <w:lang w:val="es-CL" w:eastAsia="es-UY"/>
          <w14:ligatures w14:val="none"/>
        </w:rPr>
        <w:t>Instrumentos y estrategias para viabilizar el reciclaje urbano</w:t>
      </w:r>
    </w:p>
    <w:p w14:paraId="06848ADA"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color w:val="333333"/>
          <w:kern w:val="0"/>
          <w:sz w:val="23"/>
          <w:szCs w:val="23"/>
          <w:bdr w:val="none" w:sz="0" w:space="0" w:color="auto" w:frame="1"/>
          <w:lang w:val="es-CL" w:eastAsia="es-UY"/>
          <w14:ligatures w14:val="none"/>
        </w:rPr>
        <w:t>La implementación de proyectos de reciclaje urbano requiere de un marco de gestión público-privada que incluya:</w:t>
      </w:r>
    </w:p>
    <w:p w14:paraId="25CF7848" w14:textId="77777777" w:rsidR="00523EE2" w:rsidRPr="00523EE2" w:rsidRDefault="00523EE2" w:rsidP="00523EE2">
      <w:pPr>
        <w:numPr>
          <w:ilvl w:val="0"/>
          <w:numId w:val="2"/>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val="es-CL" w:eastAsia="es-UY"/>
          <w14:ligatures w14:val="none"/>
        </w:rPr>
        <w:t>Incentivos financieros y normativos</w:t>
      </w:r>
      <w:r w:rsidRPr="00523EE2">
        <w:rPr>
          <w:rFonts w:ascii="inherit" w:eastAsia="Times New Roman" w:hAnsi="inherit" w:cs="Times New Roman"/>
          <w:color w:val="000000"/>
          <w:kern w:val="0"/>
          <w:sz w:val="23"/>
          <w:szCs w:val="23"/>
          <w:bdr w:val="none" w:sz="0" w:space="0" w:color="auto" w:frame="1"/>
          <w:lang w:val="es-CL" w:eastAsia="es-UY"/>
          <w14:ligatures w14:val="none"/>
        </w:rPr>
        <w:t> que faciliten la rehabilitación de edificaciones existentes.</w:t>
      </w:r>
    </w:p>
    <w:p w14:paraId="234626A5" w14:textId="77777777" w:rsidR="00523EE2" w:rsidRPr="00523EE2" w:rsidRDefault="00523EE2" w:rsidP="00523EE2">
      <w:pPr>
        <w:numPr>
          <w:ilvl w:val="0"/>
          <w:numId w:val="2"/>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val="es-CL" w:eastAsia="es-UY"/>
          <w14:ligatures w14:val="none"/>
        </w:rPr>
        <w:t>Modelos de Asociación Público-Privada (APP)</w:t>
      </w:r>
      <w:r w:rsidRPr="00523EE2">
        <w:rPr>
          <w:rFonts w:ascii="inherit" w:eastAsia="Times New Roman" w:hAnsi="inherit" w:cs="Times New Roman"/>
          <w:color w:val="000000"/>
          <w:kern w:val="0"/>
          <w:sz w:val="23"/>
          <w:szCs w:val="23"/>
          <w:bdr w:val="none" w:sz="0" w:space="0" w:color="auto" w:frame="1"/>
          <w:lang w:val="es-CL" w:eastAsia="es-UY"/>
          <w14:ligatures w14:val="none"/>
        </w:rPr>
        <w:t> que permitan la participación de inversionistas en la renovación urbana.</w:t>
      </w:r>
    </w:p>
    <w:p w14:paraId="55453C2A" w14:textId="77777777" w:rsidR="00523EE2" w:rsidRPr="00523EE2" w:rsidRDefault="00523EE2" w:rsidP="00523EE2">
      <w:pPr>
        <w:numPr>
          <w:ilvl w:val="0"/>
          <w:numId w:val="2"/>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val="es-CL" w:eastAsia="es-UY"/>
          <w14:ligatures w14:val="none"/>
        </w:rPr>
        <w:t>Estrategias de gestión del suelo</w:t>
      </w:r>
      <w:r w:rsidRPr="00523EE2">
        <w:rPr>
          <w:rFonts w:ascii="inherit" w:eastAsia="Times New Roman" w:hAnsi="inherit" w:cs="Times New Roman"/>
          <w:color w:val="000000"/>
          <w:kern w:val="0"/>
          <w:sz w:val="23"/>
          <w:szCs w:val="23"/>
          <w:bdr w:val="none" w:sz="0" w:space="0" w:color="auto" w:frame="1"/>
          <w:lang w:val="es-CL" w:eastAsia="es-UY"/>
          <w14:ligatures w14:val="none"/>
        </w:rPr>
        <w:t> para fomentar el uso eficiente del espacio urbano y evitar la expansión descontrolada, lo que puede incluir la conformación de entidades gestores del stock de bienes públicos.</w:t>
      </w:r>
    </w:p>
    <w:p w14:paraId="5C220840" w14:textId="77777777" w:rsidR="00523EE2" w:rsidRPr="00523EE2" w:rsidRDefault="00523EE2" w:rsidP="00523EE2">
      <w:pPr>
        <w:numPr>
          <w:ilvl w:val="0"/>
          <w:numId w:val="2"/>
        </w:numPr>
        <w:shd w:val="clear" w:color="auto" w:fill="FFFFFF"/>
        <w:spacing w:beforeAutospacing="1" w:after="0" w:afterAutospacing="1" w:line="326" w:lineRule="atLeast"/>
        <w:jc w:val="both"/>
        <w:textAlignment w:val="baseline"/>
        <w:rPr>
          <w:rFonts w:ascii="inherit" w:eastAsia="Times New Roman" w:hAnsi="inherit" w:cs="Times New Roman"/>
          <w:color w:val="000000"/>
          <w:kern w:val="0"/>
          <w:sz w:val="23"/>
          <w:szCs w:val="23"/>
          <w:lang w:eastAsia="es-UY"/>
          <w14:ligatures w14:val="none"/>
        </w:rPr>
      </w:pPr>
      <w:r w:rsidRPr="00523EE2">
        <w:rPr>
          <w:rFonts w:ascii="inherit" w:eastAsia="Times New Roman" w:hAnsi="inherit" w:cs="Times New Roman"/>
          <w:b/>
          <w:bCs/>
          <w:color w:val="000000"/>
          <w:kern w:val="0"/>
          <w:sz w:val="23"/>
          <w:szCs w:val="23"/>
          <w:bdr w:val="none" w:sz="0" w:space="0" w:color="auto" w:frame="1"/>
          <w:lang w:val="es-CL" w:eastAsia="es-UY"/>
          <w14:ligatures w14:val="none"/>
        </w:rPr>
        <w:t>Indicadores de seguimiento y evaluación</w:t>
      </w:r>
      <w:r w:rsidRPr="00523EE2">
        <w:rPr>
          <w:rFonts w:ascii="inherit" w:eastAsia="Times New Roman" w:hAnsi="inherit" w:cs="Times New Roman"/>
          <w:color w:val="000000"/>
          <w:kern w:val="0"/>
          <w:sz w:val="23"/>
          <w:szCs w:val="23"/>
          <w:bdr w:val="none" w:sz="0" w:space="0" w:color="auto" w:frame="1"/>
          <w:lang w:val="es-CL" w:eastAsia="es-UY"/>
          <w14:ligatures w14:val="none"/>
        </w:rPr>
        <w:t>, que permitan medir el impacto de las intervenciones en el tiempo.</w:t>
      </w:r>
    </w:p>
    <w:p w14:paraId="20A355CB"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inherit" w:eastAsia="Times New Roman" w:hAnsi="inherit" w:cs="Times New Roman"/>
          <w:b/>
          <w:bCs/>
          <w:color w:val="333333"/>
          <w:kern w:val="0"/>
          <w:sz w:val="23"/>
          <w:szCs w:val="23"/>
          <w:bdr w:val="none" w:sz="0" w:space="0" w:color="auto" w:frame="1"/>
          <w:lang w:eastAsia="es-UY"/>
          <w14:ligatures w14:val="none"/>
        </w:rPr>
        <w:t>Ministerios de vivienda de la región unen esfuerzos para impulsar políticas de renovación urbana</w:t>
      </w:r>
    </w:p>
    <w:p w14:paraId="351F1EB8" w14:textId="77777777" w:rsidR="00523EE2" w:rsidRPr="00523EE2" w:rsidRDefault="00523EE2" w:rsidP="00523EE2">
      <w:pPr>
        <w:shd w:val="clear" w:color="auto" w:fill="FFFFFF"/>
        <w:spacing w:after="0" w:line="304" w:lineRule="atLeast"/>
        <w:jc w:val="both"/>
        <w:textAlignment w:val="baseline"/>
        <w:rPr>
          <w:rFonts w:ascii="Fira Sans Condensed" w:eastAsia="Times New Roman" w:hAnsi="Fira Sans Condensed" w:cs="Times New Roman"/>
          <w:color w:val="333333"/>
          <w:kern w:val="0"/>
          <w:sz w:val="23"/>
          <w:szCs w:val="23"/>
          <w:lang w:eastAsia="es-UY"/>
          <w14:ligatures w14:val="none"/>
        </w:rPr>
      </w:pPr>
      <w:r w:rsidRPr="00523EE2">
        <w:rPr>
          <w:rFonts w:ascii="Fira Sans Condensed" w:eastAsia="Times New Roman" w:hAnsi="Fira Sans Condensed" w:cs="Times New Roman"/>
          <w:color w:val="333333"/>
          <w:kern w:val="0"/>
          <w:sz w:val="23"/>
          <w:szCs w:val="23"/>
          <w:lang w:eastAsia="es-UY"/>
          <w14:ligatures w14:val="none"/>
        </w:rPr>
        <w:t>Durante la última Asamblea General del </w:t>
      </w:r>
      <w:r w:rsidRPr="00523EE2">
        <w:rPr>
          <w:rFonts w:ascii="inherit" w:eastAsia="Times New Roman" w:hAnsi="inherit" w:cs="Times New Roman"/>
          <w:i/>
          <w:iCs/>
          <w:color w:val="333333"/>
          <w:kern w:val="0"/>
          <w:sz w:val="23"/>
          <w:szCs w:val="23"/>
          <w:bdr w:val="none" w:sz="0" w:space="0" w:color="auto" w:frame="1"/>
          <w:lang w:eastAsia="es-UY"/>
          <w14:ligatures w14:val="none"/>
        </w:rPr>
        <w:t>Foro de Ministros y Autoridades Máximas de la Vivienda y el Desarrollo Urbano de América Latina y el Caribe (MINURVI)</w:t>
      </w:r>
      <w:r w:rsidRPr="00523EE2">
        <w:rPr>
          <w:rFonts w:ascii="Fira Sans Condensed" w:eastAsia="Times New Roman" w:hAnsi="Fira Sans Condensed" w:cs="Times New Roman"/>
          <w:color w:val="333333"/>
          <w:kern w:val="0"/>
          <w:sz w:val="23"/>
          <w:szCs w:val="23"/>
          <w:lang w:eastAsia="es-UY"/>
          <w14:ligatures w14:val="none"/>
        </w:rPr>
        <w:t>, celebrada en Belém (Brasil) en noviembre de 2024, se creó un </w:t>
      </w:r>
      <w:r w:rsidRPr="00523EE2">
        <w:rPr>
          <w:rFonts w:ascii="inherit" w:eastAsia="Times New Roman" w:hAnsi="inherit" w:cs="Times New Roman"/>
          <w:i/>
          <w:iCs/>
          <w:color w:val="333333"/>
          <w:kern w:val="0"/>
          <w:sz w:val="23"/>
          <w:szCs w:val="23"/>
          <w:bdr w:val="none" w:sz="0" w:space="0" w:color="auto" w:frame="1"/>
          <w:lang w:eastAsia="es-UY"/>
          <w14:ligatures w14:val="none"/>
        </w:rPr>
        <w:t>Grupo de Trabajo Ad Hoc sobre "Reciclaje Urbano y Circularidad"</w:t>
      </w:r>
      <w:r w:rsidRPr="00523EE2">
        <w:rPr>
          <w:rFonts w:ascii="Fira Sans Condensed" w:eastAsia="Times New Roman" w:hAnsi="Fira Sans Condensed" w:cs="Times New Roman"/>
          <w:color w:val="333333"/>
          <w:kern w:val="0"/>
          <w:sz w:val="23"/>
          <w:szCs w:val="23"/>
          <w:lang w:eastAsia="es-UY"/>
          <w14:ligatures w14:val="none"/>
        </w:rPr>
        <w:t>. Bajo el liderazgo de Costa Rica, Chile, Ecuador y Honduras, y con el respaldo técnico de la CEPAL, el equipo acordó como primera acción la elaboración de una encuesta regional. Este instrumento buscará identificar los retos y oportunidades en la reutilización de suelos y edificaciones, con el fin de recopilar datos sobre buenas prácticas, obstáculos normativos y mecanismos de financiamiento. Los resultados permitirán diseñar estrategias integrales y adaptables a diversos entornos urbanos en la región.</w:t>
      </w:r>
    </w:p>
    <w:p w14:paraId="3E39D82C"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ira Sans Condensed">
    <w:charset w:val="00"/>
    <w:family w:val="swiss"/>
    <w:pitch w:val="variable"/>
    <w:sig w:usb0="600002FF" w:usb1="00000001"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CE132C"/>
    <w:multiLevelType w:val="multilevel"/>
    <w:tmpl w:val="49E4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164DCA"/>
    <w:multiLevelType w:val="multilevel"/>
    <w:tmpl w:val="1AAED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535192">
    <w:abstractNumId w:val="1"/>
  </w:num>
  <w:num w:numId="2" w16cid:durableId="253712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E2"/>
    <w:rsid w:val="00523EE2"/>
    <w:rsid w:val="00764A91"/>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ECD9"/>
  <w15:chartTrackingRefBased/>
  <w15:docId w15:val="{2768DDC7-EA20-4683-A226-B19CD893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23E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523E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523EE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23EE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23EE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23EE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23EE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23EE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23EE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3EE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523EE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523EE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23EE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23EE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23EE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23EE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23EE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23EE2"/>
    <w:rPr>
      <w:rFonts w:eastAsiaTheme="majorEastAsia" w:cstheme="majorBidi"/>
      <w:color w:val="272727" w:themeColor="text1" w:themeTint="D8"/>
    </w:rPr>
  </w:style>
  <w:style w:type="paragraph" w:styleId="Ttulo">
    <w:name w:val="Title"/>
    <w:basedOn w:val="Normal"/>
    <w:next w:val="Normal"/>
    <w:link w:val="TtuloCar"/>
    <w:uiPriority w:val="10"/>
    <w:qFormat/>
    <w:rsid w:val="00523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23EE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23EE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23EE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23EE2"/>
    <w:pPr>
      <w:spacing w:before="160"/>
      <w:jc w:val="center"/>
    </w:pPr>
    <w:rPr>
      <w:i/>
      <w:iCs/>
      <w:color w:val="404040" w:themeColor="text1" w:themeTint="BF"/>
    </w:rPr>
  </w:style>
  <w:style w:type="character" w:customStyle="1" w:styleId="CitaCar">
    <w:name w:val="Cita Car"/>
    <w:basedOn w:val="Fuentedeprrafopredeter"/>
    <w:link w:val="Cita"/>
    <w:uiPriority w:val="29"/>
    <w:rsid w:val="00523EE2"/>
    <w:rPr>
      <w:i/>
      <w:iCs/>
      <w:color w:val="404040" w:themeColor="text1" w:themeTint="BF"/>
    </w:rPr>
  </w:style>
  <w:style w:type="paragraph" w:styleId="Prrafodelista">
    <w:name w:val="List Paragraph"/>
    <w:basedOn w:val="Normal"/>
    <w:uiPriority w:val="34"/>
    <w:qFormat/>
    <w:rsid w:val="00523EE2"/>
    <w:pPr>
      <w:ind w:left="720"/>
      <w:contextualSpacing/>
    </w:pPr>
  </w:style>
  <w:style w:type="character" w:styleId="nfasisintenso">
    <w:name w:val="Intense Emphasis"/>
    <w:basedOn w:val="Fuentedeprrafopredeter"/>
    <w:uiPriority w:val="21"/>
    <w:qFormat/>
    <w:rsid w:val="00523EE2"/>
    <w:rPr>
      <w:i/>
      <w:iCs/>
      <w:color w:val="0F4761" w:themeColor="accent1" w:themeShade="BF"/>
    </w:rPr>
  </w:style>
  <w:style w:type="paragraph" w:styleId="Citadestacada">
    <w:name w:val="Intense Quote"/>
    <w:basedOn w:val="Normal"/>
    <w:next w:val="Normal"/>
    <w:link w:val="CitadestacadaCar"/>
    <w:uiPriority w:val="30"/>
    <w:qFormat/>
    <w:rsid w:val="00523E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23EE2"/>
    <w:rPr>
      <w:i/>
      <w:iCs/>
      <w:color w:val="0F4761" w:themeColor="accent1" w:themeShade="BF"/>
    </w:rPr>
  </w:style>
  <w:style w:type="character" w:styleId="Referenciaintensa">
    <w:name w:val="Intense Reference"/>
    <w:basedOn w:val="Fuentedeprrafopredeter"/>
    <w:uiPriority w:val="32"/>
    <w:qFormat/>
    <w:rsid w:val="00523E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877863">
      <w:bodyDiv w:val="1"/>
      <w:marLeft w:val="0"/>
      <w:marRight w:val="0"/>
      <w:marTop w:val="0"/>
      <w:marBottom w:val="0"/>
      <w:divBdr>
        <w:top w:val="none" w:sz="0" w:space="0" w:color="auto"/>
        <w:left w:val="none" w:sz="0" w:space="0" w:color="auto"/>
        <w:bottom w:val="none" w:sz="0" w:space="0" w:color="auto"/>
        <w:right w:val="none" w:sz="0" w:space="0" w:color="auto"/>
      </w:divBdr>
      <w:divsChild>
        <w:div w:id="1084033982">
          <w:marLeft w:val="0"/>
          <w:marRight w:val="0"/>
          <w:marTop w:val="0"/>
          <w:marBottom w:val="0"/>
          <w:divBdr>
            <w:top w:val="none" w:sz="0" w:space="0" w:color="auto"/>
            <w:left w:val="none" w:sz="0" w:space="0" w:color="auto"/>
            <w:bottom w:val="none" w:sz="0" w:space="0" w:color="auto"/>
            <w:right w:val="none" w:sz="0" w:space="0" w:color="auto"/>
          </w:divBdr>
        </w:div>
        <w:div w:id="1957131821">
          <w:marLeft w:val="0"/>
          <w:marRight w:val="0"/>
          <w:marTop w:val="0"/>
          <w:marBottom w:val="0"/>
          <w:divBdr>
            <w:top w:val="none" w:sz="0" w:space="0" w:color="auto"/>
            <w:left w:val="none" w:sz="0" w:space="0" w:color="auto"/>
            <w:bottom w:val="none" w:sz="0" w:space="0" w:color="auto"/>
            <w:right w:val="none" w:sz="0" w:space="0" w:color="auto"/>
          </w:divBdr>
          <w:divsChild>
            <w:div w:id="1917980659">
              <w:marLeft w:val="0"/>
              <w:marRight w:val="150"/>
              <w:marTop w:val="0"/>
              <w:marBottom w:val="0"/>
              <w:divBdr>
                <w:top w:val="single" w:sz="6" w:space="0" w:color="002E42"/>
                <w:left w:val="single" w:sz="6" w:space="0" w:color="002E42"/>
                <w:bottom w:val="single" w:sz="6" w:space="0" w:color="002E42"/>
                <w:right w:val="single" w:sz="6" w:space="0" w:color="002E42"/>
              </w:divBdr>
            </w:div>
          </w:divsChild>
        </w:div>
        <w:div w:id="1412004999">
          <w:marLeft w:val="0"/>
          <w:marRight w:val="0"/>
          <w:marTop w:val="0"/>
          <w:marBottom w:val="0"/>
          <w:divBdr>
            <w:top w:val="none" w:sz="0" w:space="0" w:color="auto"/>
            <w:left w:val="none" w:sz="0" w:space="0" w:color="auto"/>
            <w:bottom w:val="none" w:sz="0" w:space="0" w:color="auto"/>
            <w:right w:val="none" w:sz="0" w:space="0" w:color="auto"/>
          </w:divBdr>
          <w:divsChild>
            <w:div w:id="89742278">
              <w:marLeft w:val="0"/>
              <w:marRight w:val="0"/>
              <w:marTop w:val="0"/>
              <w:marBottom w:val="0"/>
              <w:divBdr>
                <w:top w:val="none" w:sz="0" w:space="0" w:color="auto"/>
                <w:left w:val="none" w:sz="0" w:space="0" w:color="auto"/>
                <w:bottom w:val="none" w:sz="0" w:space="0" w:color="auto"/>
                <w:right w:val="none" w:sz="0" w:space="0" w:color="auto"/>
              </w:divBdr>
              <w:divsChild>
                <w:div w:id="990132906">
                  <w:marLeft w:val="0"/>
                  <w:marRight w:val="0"/>
                  <w:marTop w:val="0"/>
                  <w:marBottom w:val="0"/>
                  <w:divBdr>
                    <w:top w:val="none" w:sz="0" w:space="0" w:color="auto"/>
                    <w:left w:val="none" w:sz="0" w:space="0" w:color="auto"/>
                    <w:bottom w:val="none" w:sz="0" w:space="0" w:color="auto"/>
                    <w:right w:val="none" w:sz="0" w:space="0" w:color="auto"/>
                  </w:divBdr>
                </w:div>
                <w:div w:id="1363285794">
                  <w:marLeft w:val="0"/>
                  <w:marRight w:val="0"/>
                  <w:marTop w:val="300"/>
                  <w:marBottom w:val="300"/>
                  <w:divBdr>
                    <w:top w:val="none" w:sz="0" w:space="0" w:color="auto"/>
                    <w:left w:val="none" w:sz="0" w:space="0" w:color="auto"/>
                    <w:bottom w:val="none" w:sz="0" w:space="0" w:color="auto"/>
                    <w:right w:val="none" w:sz="0" w:space="0" w:color="auto"/>
                  </w:divBdr>
                  <w:divsChild>
                    <w:div w:id="8437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8194">
          <w:marLeft w:val="0"/>
          <w:marRight w:val="0"/>
          <w:marTop w:val="0"/>
          <w:marBottom w:val="0"/>
          <w:divBdr>
            <w:top w:val="none" w:sz="0" w:space="0" w:color="auto"/>
            <w:left w:val="none" w:sz="0" w:space="0" w:color="auto"/>
            <w:bottom w:val="none" w:sz="0" w:space="0" w:color="auto"/>
            <w:right w:val="none" w:sz="0" w:space="0" w:color="auto"/>
          </w:divBdr>
          <w:divsChild>
            <w:div w:id="80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2968</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2025-04-22T13:44:00Z</dcterms:created>
  <dcterms:modified xsi:type="dcterms:W3CDTF">2025-04-22T13:45:00Z</dcterms:modified>
</cp:coreProperties>
</file>