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193CE" w14:textId="0E348987"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drawing>
          <wp:inline distT="0" distB="0" distL="0" distR="0" wp14:anchorId="108CB000" wp14:editId="5FA79928">
            <wp:extent cx="5400040" cy="1638300"/>
            <wp:effectExtent l="0" t="0" r="0" b="0"/>
            <wp:docPr id="1628231460" name="Imagen 1" descr="Imagen que contiene foto, comida, diferente, past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31460" name="Imagen 1" descr="Imagen que contiene foto, comida, diferente, pastel&#10;&#10;El contenido generado por IA puede ser incorrecto."/>
                    <pic:cNvPicPr/>
                  </pic:nvPicPr>
                  <pic:blipFill>
                    <a:blip r:embed="rId4"/>
                    <a:stretch>
                      <a:fillRect/>
                    </a:stretch>
                  </pic:blipFill>
                  <pic:spPr>
                    <a:xfrm>
                      <a:off x="0" y="0"/>
                      <a:ext cx="5400040" cy="1638300"/>
                    </a:xfrm>
                    <a:prstGeom prst="rect">
                      <a:avLst/>
                    </a:prstGeom>
                  </pic:spPr>
                </pic:pic>
              </a:graphicData>
            </a:graphic>
          </wp:inline>
        </w:drawing>
      </w:r>
    </w:p>
    <w:p w14:paraId="6D6744F0" w14:textId="77777777"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1A8CF87C" w14:textId="05A0303D"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 La narración de  </w:t>
      </w:r>
      <w:r w:rsidRPr="00F351DA">
        <w:rPr>
          <w:rFonts w:ascii="Arial" w:eastAsia="Times New Roman" w:hAnsi="Arial" w:cs="Arial"/>
          <w:b/>
          <w:bCs/>
          <w:color w:val="333333"/>
          <w:kern w:val="0"/>
          <w:sz w:val="26"/>
          <w:szCs w:val="26"/>
          <w:lang w:eastAsia="es-UY"/>
          <w14:ligatures w14:val="none"/>
        </w:rPr>
        <w:t>Vian-</w:t>
      </w:r>
      <w:proofErr w:type="spellStart"/>
      <w:r w:rsidRPr="00F351DA">
        <w:rPr>
          <w:rFonts w:ascii="Arial" w:eastAsia="Times New Roman" w:hAnsi="Arial" w:cs="Arial"/>
          <w:b/>
          <w:bCs/>
          <w:color w:val="333333"/>
          <w:kern w:val="0"/>
          <w:sz w:val="26"/>
          <w:szCs w:val="26"/>
          <w:lang w:eastAsia="es-UY"/>
          <w14:ligatures w14:val="none"/>
        </w:rPr>
        <w:t>Vecchi</w:t>
      </w:r>
      <w:proofErr w:type="spellEnd"/>
      <w:r w:rsidRPr="00F351DA">
        <w:rPr>
          <w:rFonts w:ascii="Arial" w:eastAsia="Times New Roman" w:hAnsi="Arial" w:cs="Arial"/>
          <w:color w:val="333333"/>
          <w:kern w:val="0"/>
          <w:sz w:val="26"/>
          <w:szCs w:val="26"/>
          <w:lang w:eastAsia="es-UY"/>
          <w14:ligatures w14:val="none"/>
        </w:rPr>
        <w:t>  , sin embargo, parte del contexto de los siglos anteriores para permitir una mejor comprensión de la complejidad de la cuestión que estaba en el corazón de  </w:t>
      </w:r>
      <w:r w:rsidRPr="00F351DA">
        <w:rPr>
          <w:rFonts w:ascii="Arial" w:eastAsia="Times New Roman" w:hAnsi="Arial" w:cs="Arial"/>
          <w:b/>
          <w:bCs/>
          <w:color w:val="333333"/>
          <w:kern w:val="0"/>
          <w:sz w:val="26"/>
          <w:szCs w:val="26"/>
          <w:lang w:eastAsia="es-UY"/>
          <w14:ligatures w14:val="none"/>
        </w:rPr>
        <w:t>Nicea</w:t>
      </w:r>
      <w:r w:rsidRPr="00F351DA">
        <w:rPr>
          <w:rFonts w:ascii="Arial" w:eastAsia="Times New Roman" w:hAnsi="Arial" w:cs="Arial"/>
          <w:color w:val="333333"/>
          <w:kern w:val="0"/>
          <w:sz w:val="26"/>
          <w:szCs w:val="26"/>
          <w:lang w:eastAsia="es-UY"/>
          <w14:ligatures w14:val="none"/>
        </w:rPr>
        <w:t> , que se convirtió en el estuario de un viaje, o más bien, "la línea divisoria" de la historia del cristianismo, no solo a nivel dogmático sino también a nivel epistemológico", escribe  </w:t>
      </w:r>
      <w:hyperlink r:id="rId5" w:tgtFrame="_blank" w:history="1">
        <w:r w:rsidRPr="00F351DA">
          <w:rPr>
            <w:rFonts w:ascii="Arial" w:eastAsia="Times New Roman" w:hAnsi="Arial" w:cs="Arial"/>
            <w:color w:val="FC6B01"/>
            <w:kern w:val="0"/>
            <w:sz w:val="26"/>
            <w:szCs w:val="26"/>
            <w:u w:val="single"/>
            <w:lang w:eastAsia="es-UY"/>
            <w14:ligatures w14:val="none"/>
          </w:rPr>
          <w:t xml:space="preserve">Gianfranco </w:t>
        </w:r>
        <w:proofErr w:type="spellStart"/>
        <w:r w:rsidRPr="00F351DA">
          <w:rPr>
            <w:rFonts w:ascii="Arial" w:eastAsia="Times New Roman" w:hAnsi="Arial" w:cs="Arial"/>
            <w:color w:val="FC6B01"/>
            <w:kern w:val="0"/>
            <w:sz w:val="26"/>
            <w:szCs w:val="26"/>
            <w:u w:val="single"/>
            <w:lang w:eastAsia="es-UY"/>
            <w14:ligatures w14:val="none"/>
          </w:rPr>
          <w:t>Ravasi</w:t>
        </w:r>
        <w:proofErr w:type="spellEnd"/>
      </w:hyperlink>
      <w:r w:rsidRPr="00F351DA">
        <w:rPr>
          <w:rFonts w:ascii="Arial" w:eastAsia="Times New Roman" w:hAnsi="Arial" w:cs="Arial"/>
          <w:color w:val="333333"/>
          <w:kern w:val="0"/>
          <w:sz w:val="26"/>
          <w:szCs w:val="26"/>
          <w:lang w:eastAsia="es-UY"/>
          <w14:ligatures w14:val="none"/>
        </w:rPr>
        <w:t> , ex Prefecto del  </w:t>
      </w:r>
      <w:r w:rsidRPr="00F351DA">
        <w:rPr>
          <w:rFonts w:ascii="Arial" w:eastAsia="Times New Roman" w:hAnsi="Arial" w:cs="Arial"/>
          <w:b/>
          <w:bCs/>
          <w:color w:val="333333"/>
          <w:kern w:val="0"/>
          <w:sz w:val="26"/>
          <w:szCs w:val="26"/>
          <w:lang w:eastAsia="es-UY"/>
          <w14:ligatures w14:val="none"/>
        </w:rPr>
        <w:t>Pontificio Consejo para la Cultura</w:t>
      </w:r>
      <w:r w:rsidRPr="00F351DA">
        <w:rPr>
          <w:rFonts w:ascii="Arial" w:eastAsia="Times New Roman" w:hAnsi="Arial" w:cs="Arial"/>
          <w:color w:val="333333"/>
          <w:kern w:val="0"/>
          <w:sz w:val="26"/>
          <w:szCs w:val="26"/>
          <w:lang w:eastAsia="es-UY"/>
          <w14:ligatures w14:val="none"/>
        </w:rPr>
        <w:t> , en un artículo publicado por  </w:t>
      </w:r>
      <w:proofErr w:type="spellStart"/>
      <w:r w:rsidRPr="00F351DA">
        <w:rPr>
          <w:rFonts w:ascii="Arial" w:eastAsia="Times New Roman" w:hAnsi="Arial" w:cs="Arial"/>
          <w:color w:val="333333"/>
          <w:kern w:val="0"/>
          <w:sz w:val="26"/>
          <w:szCs w:val="26"/>
          <w:lang w:eastAsia="es-UY"/>
          <w14:ligatures w14:val="none"/>
        </w:rPr>
        <w:fldChar w:fldCharType="begin"/>
      </w:r>
      <w:r w:rsidRPr="00F351DA">
        <w:rPr>
          <w:rFonts w:ascii="Arial" w:eastAsia="Times New Roman" w:hAnsi="Arial" w:cs="Arial"/>
          <w:color w:val="333333"/>
          <w:kern w:val="0"/>
          <w:sz w:val="26"/>
          <w:szCs w:val="26"/>
          <w:lang w:eastAsia="es-UY"/>
          <w14:ligatures w14:val="none"/>
        </w:rPr>
        <w:instrText>HYPERLINK "https://www.ilsole24ore.com/" \t "_blank"</w:instrText>
      </w:r>
      <w:r w:rsidRPr="00F351DA">
        <w:rPr>
          <w:rFonts w:ascii="Arial" w:eastAsia="Times New Roman" w:hAnsi="Arial" w:cs="Arial"/>
          <w:color w:val="333333"/>
          <w:kern w:val="0"/>
          <w:sz w:val="26"/>
          <w:szCs w:val="26"/>
          <w:lang w:eastAsia="es-UY"/>
          <w14:ligatures w14:val="none"/>
        </w:rPr>
      </w:r>
      <w:r w:rsidRPr="00F351DA">
        <w:rPr>
          <w:rFonts w:ascii="Arial" w:eastAsia="Times New Roman" w:hAnsi="Arial" w:cs="Arial"/>
          <w:color w:val="333333"/>
          <w:kern w:val="0"/>
          <w:sz w:val="26"/>
          <w:szCs w:val="26"/>
          <w:lang w:eastAsia="es-UY"/>
          <w14:ligatures w14:val="none"/>
        </w:rPr>
        <w:fldChar w:fldCharType="separate"/>
      </w:r>
      <w:r w:rsidRPr="00F351DA">
        <w:rPr>
          <w:rFonts w:ascii="Arial" w:eastAsia="Times New Roman" w:hAnsi="Arial" w:cs="Arial"/>
          <w:color w:val="FC6B01"/>
          <w:kern w:val="0"/>
          <w:sz w:val="26"/>
          <w:szCs w:val="26"/>
          <w:u w:val="single"/>
          <w:lang w:eastAsia="es-UY"/>
          <w14:ligatures w14:val="none"/>
        </w:rPr>
        <w:t>Il</w:t>
      </w:r>
      <w:proofErr w:type="spellEnd"/>
      <w:r w:rsidRPr="00F351DA">
        <w:rPr>
          <w:rFonts w:ascii="Arial" w:eastAsia="Times New Roman" w:hAnsi="Arial" w:cs="Arial"/>
          <w:color w:val="FC6B01"/>
          <w:kern w:val="0"/>
          <w:sz w:val="26"/>
          <w:szCs w:val="26"/>
          <w:u w:val="single"/>
          <w:lang w:eastAsia="es-UY"/>
          <w14:ligatures w14:val="none"/>
        </w:rPr>
        <w:t xml:space="preserve"> Sole 24 Ore</w:t>
      </w:r>
      <w:r w:rsidRPr="00F351DA">
        <w:rPr>
          <w:rFonts w:ascii="Arial" w:eastAsia="Times New Roman" w:hAnsi="Arial" w:cs="Arial"/>
          <w:color w:val="333333"/>
          <w:kern w:val="0"/>
          <w:sz w:val="26"/>
          <w:szCs w:val="26"/>
          <w:lang w:eastAsia="es-UY"/>
          <w14:ligatures w14:val="none"/>
        </w:rPr>
        <w:fldChar w:fldCharType="end"/>
      </w:r>
      <w:r w:rsidRPr="00F351DA">
        <w:rPr>
          <w:rFonts w:ascii="Arial" w:eastAsia="Times New Roman" w:hAnsi="Arial" w:cs="Arial"/>
          <w:color w:val="333333"/>
          <w:kern w:val="0"/>
          <w:sz w:val="26"/>
          <w:szCs w:val="26"/>
          <w:lang w:eastAsia="es-UY"/>
          <w14:ligatures w14:val="none"/>
        </w:rPr>
        <w:t> , 08-06-2025. Traducido por </w:t>
      </w:r>
      <w:r w:rsidRPr="00F351DA">
        <w:rPr>
          <w:rFonts w:ascii="Arial" w:eastAsia="Times New Roman" w:hAnsi="Arial" w:cs="Arial"/>
          <w:b/>
          <w:bCs/>
          <w:color w:val="333333"/>
          <w:kern w:val="0"/>
          <w:sz w:val="26"/>
          <w:szCs w:val="26"/>
          <w:lang w:eastAsia="es-UY"/>
          <w14:ligatures w14:val="none"/>
        </w:rPr>
        <w:t xml:space="preserve"> Luisa </w:t>
      </w:r>
      <w:proofErr w:type="spellStart"/>
      <w:r w:rsidRPr="00F351DA">
        <w:rPr>
          <w:rFonts w:ascii="Arial" w:eastAsia="Times New Roman" w:hAnsi="Arial" w:cs="Arial"/>
          <w:b/>
          <w:bCs/>
          <w:color w:val="333333"/>
          <w:kern w:val="0"/>
          <w:sz w:val="26"/>
          <w:szCs w:val="26"/>
          <w:lang w:eastAsia="es-UY"/>
          <w14:ligatures w14:val="none"/>
        </w:rPr>
        <w:t>Rabolini</w:t>
      </w:r>
      <w:proofErr w:type="spellEnd"/>
      <w:r w:rsidRPr="00F351DA">
        <w:rPr>
          <w:rFonts w:ascii="Arial" w:eastAsia="Times New Roman" w:hAnsi="Arial" w:cs="Arial"/>
          <w:color w:val="333333"/>
          <w:kern w:val="0"/>
          <w:sz w:val="26"/>
          <w:szCs w:val="26"/>
          <w:lang w:eastAsia="es-UY"/>
          <w14:ligatures w14:val="none"/>
        </w:rPr>
        <w:t> . </w:t>
      </w:r>
    </w:p>
    <w:p w14:paraId="74C8DEC3"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2D257CD9" w14:textId="77777777" w:rsidR="00F351DA" w:rsidRDefault="00F351DA" w:rsidP="00F351DA">
      <w:pPr>
        <w:spacing w:after="0" w:line="240" w:lineRule="auto"/>
        <w:jc w:val="both"/>
        <w:outlineLvl w:val="1"/>
        <w:rPr>
          <w:rFonts w:ascii="Arial" w:eastAsia="Times New Roman" w:hAnsi="Arial" w:cs="Arial"/>
          <w:b/>
          <w:bCs/>
          <w:color w:val="333333"/>
          <w:kern w:val="0"/>
          <w:sz w:val="36"/>
          <w:szCs w:val="36"/>
          <w:lang w:eastAsia="es-UY"/>
          <w14:ligatures w14:val="none"/>
        </w:rPr>
      </w:pPr>
      <w:r w:rsidRPr="00F351DA">
        <w:rPr>
          <w:rFonts w:ascii="Arial" w:eastAsia="Times New Roman" w:hAnsi="Arial" w:cs="Arial"/>
          <w:b/>
          <w:bCs/>
          <w:color w:val="333333"/>
          <w:kern w:val="0"/>
          <w:sz w:val="36"/>
          <w:szCs w:val="36"/>
          <w:lang w:eastAsia="es-UY"/>
          <w14:ligatures w14:val="none"/>
        </w:rPr>
        <w:t>Aquí está el artículo.</w:t>
      </w:r>
    </w:p>
    <w:p w14:paraId="5EB68C76" w14:textId="77777777" w:rsidR="00F351DA" w:rsidRPr="00F351DA" w:rsidRDefault="00F351DA" w:rsidP="00F351DA">
      <w:pPr>
        <w:spacing w:after="0" w:line="240" w:lineRule="auto"/>
        <w:jc w:val="both"/>
        <w:outlineLvl w:val="1"/>
        <w:rPr>
          <w:rFonts w:ascii="Arial" w:eastAsia="Times New Roman" w:hAnsi="Arial" w:cs="Arial"/>
          <w:b/>
          <w:bCs/>
          <w:color w:val="333333"/>
          <w:kern w:val="0"/>
          <w:sz w:val="36"/>
          <w:szCs w:val="36"/>
          <w:lang w:eastAsia="es-UY"/>
          <w14:ligatures w14:val="none"/>
        </w:rPr>
      </w:pPr>
    </w:p>
    <w:p w14:paraId="12335578"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Más allá de Arrio. </w:t>
      </w:r>
      <w:r w:rsidRPr="00F351DA">
        <w:rPr>
          <w:rFonts w:ascii="Arial" w:eastAsia="Times New Roman" w:hAnsi="Arial" w:cs="Arial"/>
          <w:b/>
          <w:bCs/>
          <w:color w:val="333333"/>
          <w:kern w:val="0"/>
          <w:sz w:val="26"/>
          <w:szCs w:val="26"/>
          <w:lang w:eastAsia="es-UY"/>
          <w14:ligatures w14:val="none"/>
        </w:rPr>
        <w:t xml:space="preserve">Giovanni </w:t>
      </w:r>
      <w:proofErr w:type="spellStart"/>
      <w:r w:rsidRPr="00F351DA">
        <w:rPr>
          <w:rFonts w:ascii="Arial" w:eastAsia="Times New Roman" w:hAnsi="Arial" w:cs="Arial"/>
          <w:b/>
          <w:bCs/>
          <w:color w:val="333333"/>
          <w:kern w:val="0"/>
          <w:sz w:val="26"/>
          <w:szCs w:val="26"/>
          <w:lang w:eastAsia="es-UY"/>
          <w14:ligatures w14:val="none"/>
        </w:rPr>
        <w:t>Maria</w:t>
      </w:r>
      <w:proofErr w:type="spellEnd"/>
      <w:r w:rsidRPr="00F351DA">
        <w:rPr>
          <w:rFonts w:ascii="Arial" w:eastAsia="Times New Roman" w:hAnsi="Arial" w:cs="Arial"/>
          <w:b/>
          <w:bCs/>
          <w:color w:val="333333"/>
          <w:kern w:val="0"/>
          <w:sz w:val="26"/>
          <w:szCs w:val="26"/>
          <w:lang w:eastAsia="es-UY"/>
          <w14:ligatures w14:val="none"/>
        </w:rPr>
        <w:t xml:space="preserve"> Vian</w:t>
      </w:r>
      <w:r w:rsidRPr="00F351DA">
        <w:rPr>
          <w:rFonts w:ascii="Arial" w:eastAsia="Times New Roman" w:hAnsi="Arial" w:cs="Arial"/>
          <w:color w:val="333333"/>
          <w:kern w:val="0"/>
          <w:sz w:val="26"/>
          <w:szCs w:val="26"/>
          <w:lang w:eastAsia="es-UY"/>
          <w14:ligatures w14:val="none"/>
        </w:rPr>
        <w:t> y </w:t>
      </w:r>
      <w:r w:rsidRPr="00F351DA">
        <w:rPr>
          <w:rFonts w:ascii="Arial" w:eastAsia="Times New Roman" w:hAnsi="Arial" w:cs="Arial"/>
          <w:b/>
          <w:bCs/>
          <w:color w:val="333333"/>
          <w:kern w:val="0"/>
          <w:sz w:val="26"/>
          <w:szCs w:val="26"/>
          <w:lang w:eastAsia="es-UY"/>
          <w14:ligatures w14:val="none"/>
        </w:rPr>
        <w:t xml:space="preserve">Gian Guido </w:t>
      </w:r>
      <w:proofErr w:type="spellStart"/>
      <w:r w:rsidRPr="00F351DA">
        <w:rPr>
          <w:rFonts w:ascii="Arial" w:eastAsia="Times New Roman" w:hAnsi="Arial" w:cs="Arial"/>
          <w:b/>
          <w:bCs/>
          <w:color w:val="333333"/>
          <w:kern w:val="0"/>
          <w:sz w:val="26"/>
          <w:szCs w:val="26"/>
          <w:lang w:eastAsia="es-UY"/>
          <w14:ligatures w14:val="none"/>
        </w:rPr>
        <w:t>Vecchi</w:t>
      </w:r>
      <w:proofErr w:type="spellEnd"/>
      <w:r w:rsidRPr="00F351DA">
        <w:rPr>
          <w:rFonts w:ascii="Arial" w:eastAsia="Times New Roman" w:hAnsi="Arial" w:cs="Arial"/>
          <w:color w:val="333333"/>
          <w:kern w:val="0"/>
          <w:sz w:val="26"/>
          <w:szCs w:val="26"/>
          <w:lang w:eastAsia="es-UY"/>
          <w14:ligatures w14:val="none"/>
        </w:rPr>
        <w:t> ofrecen una narrativa atractiva del </w:t>
      </w:r>
      <w:hyperlink r:id="rId6" w:tgtFrame="_blank" w:history="1">
        <w:r w:rsidRPr="00F351DA">
          <w:rPr>
            <w:rFonts w:ascii="Arial" w:eastAsia="Times New Roman" w:hAnsi="Arial" w:cs="Arial"/>
            <w:color w:val="FC6B01"/>
            <w:kern w:val="0"/>
            <w:sz w:val="26"/>
            <w:szCs w:val="26"/>
            <w:u w:val="single"/>
            <w:lang w:eastAsia="es-UY"/>
            <w14:ligatures w14:val="none"/>
          </w:rPr>
          <w:t>Concilio de 325</w:t>
        </w:r>
      </w:hyperlink>
      <w:r w:rsidRPr="00F351DA">
        <w:rPr>
          <w:rFonts w:ascii="Arial" w:eastAsia="Times New Roman" w:hAnsi="Arial" w:cs="Arial"/>
          <w:color w:val="333333"/>
          <w:kern w:val="0"/>
          <w:sz w:val="26"/>
          <w:szCs w:val="26"/>
          <w:lang w:eastAsia="es-UY"/>
          <w14:ligatures w14:val="none"/>
        </w:rPr>
        <w:t> , basándose en el contexto de los siglos anteriores para comprender mejor la complejidad de la cuestión central de </w:t>
      </w:r>
      <w:r w:rsidRPr="00F351DA">
        <w:rPr>
          <w:rFonts w:ascii="Arial" w:eastAsia="Times New Roman" w:hAnsi="Arial" w:cs="Arial"/>
          <w:b/>
          <w:bCs/>
          <w:color w:val="333333"/>
          <w:kern w:val="0"/>
          <w:sz w:val="26"/>
          <w:szCs w:val="26"/>
          <w:lang w:eastAsia="es-UY"/>
          <w14:ligatures w14:val="none"/>
        </w:rPr>
        <w:t>Nicea</w:t>
      </w:r>
      <w:r w:rsidRPr="00F351DA">
        <w:rPr>
          <w:rFonts w:ascii="Arial" w:eastAsia="Times New Roman" w:hAnsi="Arial" w:cs="Arial"/>
          <w:color w:val="333333"/>
          <w:kern w:val="0"/>
          <w:sz w:val="26"/>
          <w:szCs w:val="26"/>
          <w:lang w:eastAsia="es-UY"/>
          <w14:ligatures w14:val="none"/>
        </w:rPr>
        <w:t> .</w:t>
      </w:r>
    </w:p>
    <w:p w14:paraId="56629EC1" w14:textId="63A298C0"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20713ADE" w14:textId="6FCADE54"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noProof/>
          <w:color w:val="333333"/>
          <w:kern w:val="0"/>
          <w:sz w:val="26"/>
          <w:szCs w:val="26"/>
          <w:lang w:eastAsia="es-UY"/>
          <w14:ligatures w14:val="none"/>
        </w:rPr>
        <w:drawing>
          <wp:anchor distT="0" distB="0" distL="114300" distR="114300" simplePos="0" relativeHeight="251658240" behindDoc="1" locked="0" layoutInCell="1" allowOverlap="1" wp14:anchorId="45D19D6C" wp14:editId="3BAB8BDE">
            <wp:simplePos x="0" y="0"/>
            <wp:positionH relativeFrom="column">
              <wp:posOffset>69215</wp:posOffset>
            </wp:positionH>
            <wp:positionV relativeFrom="paragraph">
              <wp:posOffset>94615</wp:posOffset>
            </wp:positionV>
            <wp:extent cx="2413000" cy="1508125"/>
            <wp:effectExtent l="0" t="0" r="6350" b="0"/>
            <wp:wrapTight wrapText="bothSides">
              <wp:wrapPolygon edited="0">
                <wp:start x="0" y="0"/>
                <wp:lineTo x="0" y="21282"/>
                <wp:lineTo x="21486" y="21282"/>
                <wp:lineTo x="21486" y="0"/>
                <wp:lineTo x="0" y="0"/>
              </wp:wrapPolygon>
            </wp:wrapTight>
            <wp:docPr id="1"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30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DA">
        <w:rPr>
          <w:rFonts w:ascii="Arial" w:eastAsia="Times New Roman" w:hAnsi="Arial" w:cs="Arial"/>
          <w:color w:val="333333"/>
          <w:kern w:val="0"/>
          <w:sz w:val="26"/>
          <w:szCs w:val="26"/>
          <w:lang w:eastAsia="es-UY"/>
          <w14:ligatures w14:val="none"/>
        </w:rPr>
        <w:t>Al escuchar la palabra "ario", la reacción espontánea de muchas personas evoca el programa racista nazi y fascista que purgó el escudo de armas de la nobleza de judíos y etnias consideradas inferiores a la tipología europea pura, caracterizadas también por piel blanca, ojos azules y cabello rubio. Este término, de hecho, deriva del sánscrito </w:t>
      </w:r>
      <w:proofErr w:type="spellStart"/>
      <w:r w:rsidRPr="00F351DA">
        <w:rPr>
          <w:rFonts w:ascii="Arial" w:eastAsia="Times New Roman" w:hAnsi="Arial" w:cs="Arial"/>
          <w:i/>
          <w:iCs/>
          <w:color w:val="333333"/>
          <w:kern w:val="0"/>
          <w:sz w:val="26"/>
          <w:szCs w:val="26"/>
          <w:lang w:eastAsia="es-UY"/>
          <w14:ligatures w14:val="none"/>
        </w:rPr>
        <w:t>ariyà</w:t>
      </w:r>
      <w:proofErr w:type="spellEnd"/>
      <w:r w:rsidRPr="00F351DA">
        <w:rPr>
          <w:rFonts w:ascii="Arial" w:eastAsia="Times New Roman" w:hAnsi="Arial" w:cs="Arial"/>
          <w:color w:val="333333"/>
          <w:kern w:val="0"/>
          <w:sz w:val="26"/>
          <w:szCs w:val="26"/>
          <w:lang w:eastAsia="es-UY"/>
          <w14:ligatures w14:val="none"/>
        </w:rPr>
        <w:t> , "señor", y se aplicaba a la identidad indoeuropea.</w:t>
      </w:r>
    </w:p>
    <w:p w14:paraId="6EAC8797"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32EC0794" w14:textId="77777777"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"Ario", sin embargo, a nivel cristiano histórico, se refiere a un sacerdote libio, </w:t>
      </w:r>
      <w:r w:rsidRPr="00F351DA">
        <w:rPr>
          <w:rFonts w:ascii="Arial" w:eastAsia="Times New Roman" w:hAnsi="Arial" w:cs="Arial"/>
          <w:b/>
          <w:bCs/>
          <w:color w:val="333333"/>
          <w:kern w:val="0"/>
          <w:sz w:val="26"/>
          <w:szCs w:val="26"/>
          <w:lang w:eastAsia="es-UY"/>
          <w14:ligatures w14:val="none"/>
        </w:rPr>
        <w:t>Arrio</w:t>
      </w:r>
      <w:r w:rsidRPr="00F351DA">
        <w:rPr>
          <w:rFonts w:ascii="Arial" w:eastAsia="Times New Roman" w:hAnsi="Arial" w:cs="Arial"/>
          <w:color w:val="333333"/>
          <w:kern w:val="0"/>
          <w:sz w:val="26"/>
          <w:szCs w:val="26"/>
          <w:lang w:eastAsia="es-UY"/>
          <w14:ligatures w14:val="none"/>
        </w:rPr>
        <w:t xml:space="preserve"> , que había sido el abanderado de una "herejía" cristológica, como lo atestigua la maldición </w:t>
      </w:r>
      <w:proofErr w:type="spellStart"/>
      <w:r w:rsidRPr="00F351DA">
        <w:rPr>
          <w:rFonts w:ascii="Arial" w:eastAsia="Times New Roman" w:hAnsi="Arial" w:cs="Arial"/>
          <w:color w:val="333333"/>
          <w:kern w:val="0"/>
          <w:sz w:val="26"/>
          <w:szCs w:val="26"/>
          <w:lang w:eastAsia="es-UY"/>
          <w14:ligatures w14:val="none"/>
        </w:rPr>
        <w:t>manzoniana</w:t>
      </w:r>
      <w:proofErr w:type="spellEnd"/>
      <w:r w:rsidRPr="00F351DA">
        <w:rPr>
          <w:rFonts w:ascii="Arial" w:eastAsia="Times New Roman" w:hAnsi="Arial" w:cs="Arial"/>
          <w:color w:val="333333"/>
          <w:kern w:val="0"/>
          <w:sz w:val="26"/>
          <w:szCs w:val="26"/>
          <w:lang w:eastAsia="es-UY"/>
          <w14:ligatures w14:val="none"/>
        </w:rPr>
        <w:t>: "Son demonios, son arrianos, son anticristos" ( </w:t>
      </w:r>
      <w:r w:rsidRPr="00F351DA">
        <w:rPr>
          <w:rFonts w:ascii="Arial" w:eastAsia="Times New Roman" w:hAnsi="Arial" w:cs="Arial"/>
          <w:i/>
          <w:iCs/>
          <w:color w:val="333333"/>
          <w:kern w:val="0"/>
          <w:sz w:val="26"/>
          <w:szCs w:val="26"/>
          <w:lang w:eastAsia="es-UY"/>
          <w14:ligatures w14:val="none"/>
        </w:rPr>
        <w:t>Los novios</w:t>
      </w:r>
      <w:r w:rsidRPr="00F351DA">
        <w:rPr>
          <w:rFonts w:ascii="Arial" w:eastAsia="Times New Roman" w:hAnsi="Arial" w:cs="Arial"/>
          <w:color w:val="333333"/>
          <w:kern w:val="0"/>
          <w:sz w:val="26"/>
          <w:szCs w:val="26"/>
          <w:lang w:eastAsia="es-UY"/>
          <w14:ligatures w14:val="none"/>
        </w:rPr>
        <w:t> , XXIX).</w:t>
      </w:r>
    </w:p>
    <w:p w14:paraId="3C97C956"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23EB83B2" w14:textId="77777777"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El escenario donde se libró la batalla teológica que llevó a la condena de las tesis de esta figura, apoyada por 17 obispos, fue una ciudad de la actual </w:t>
      </w:r>
      <w:r w:rsidRPr="00F351DA">
        <w:rPr>
          <w:rFonts w:ascii="Arial" w:eastAsia="Times New Roman" w:hAnsi="Arial" w:cs="Arial"/>
          <w:b/>
          <w:bCs/>
          <w:color w:val="333333"/>
          <w:kern w:val="0"/>
          <w:sz w:val="26"/>
          <w:szCs w:val="26"/>
          <w:lang w:eastAsia="es-UY"/>
          <w14:ligatures w14:val="none"/>
        </w:rPr>
        <w:t>Turquía</w:t>
      </w:r>
      <w:r w:rsidRPr="00F351DA">
        <w:rPr>
          <w:rFonts w:ascii="Arial" w:eastAsia="Times New Roman" w:hAnsi="Arial" w:cs="Arial"/>
          <w:color w:val="333333"/>
          <w:kern w:val="0"/>
          <w:sz w:val="26"/>
          <w:szCs w:val="26"/>
          <w:lang w:eastAsia="es-UY"/>
          <w14:ligatures w14:val="none"/>
        </w:rPr>
        <w:t> , </w:t>
      </w:r>
      <w:proofErr w:type="spellStart"/>
      <w:r w:rsidRPr="00F351DA">
        <w:rPr>
          <w:rFonts w:ascii="Arial" w:eastAsia="Times New Roman" w:hAnsi="Arial" w:cs="Arial"/>
          <w:b/>
          <w:bCs/>
          <w:color w:val="333333"/>
          <w:kern w:val="0"/>
          <w:sz w:val="26"/>
          <w:szCs w:val="26"/>
          <w:lang w:eastAsia="es-UY"/>
          <w14:ligatures w14:val="none"/>
        </w:rPr>
        <w:t>Iznik</w:t>
      </w:r>
      <w:proofErr w:type="spellEnd"/>
      <w:r w:rsidRPr="00F351DA">
        <w:rPr>
          <w:rFonts w:ascii="Arial" w:eastAsia="Times New Roman" w:hAnsi="Arial" w:cs="Arial"/>
          <w:color w:val="333333"/>
          <w:kern w:val="0"/>
          <w:sz w:val="26"/>
          <w:szCs w:val="26"/>
          <w:lang w:eastAsia="es-UY"/>
          <w14:ligatures w14:val="none"/>
        </w:rPr>
        <w:t> , a unos cien kilómetros de </w:t>
      </w:r>
      <w:r w:rsidRPr="00F351DA">
        <w:rPr>
          <w:rFonts w:ascii="Arial" w:eastAsia="Times New Roman" w:hAnsi="Arial" w:cs="Arial"/>
          <w:b/>
          <w:bCs/>
          <w:color w:val="333333"/>
          <w:kern w:val="0"/>
          <w:sz w:val="26"/>
          <w:szCs w:val="26"/>
          <w:lang w:eastAsia="es-UY"/>
          <w14:ligatures w14:val="none"/>
        </w:rPr>
        <w:t>Estambul</w:t>
      </w:r>
      <w:r w:rsidRPr="00F351DA">
        <w:rPr>
          <w:rFonts w:ascii="Arial" w:eastAsia="Times New Roman" w:hAnsi="Arial" w:cs="Arial"/>
          <w:color w:val="333333"/>
          <w:kern w:val="0"/>
          <w:sz w:val="26"/>
          <w:szCs w:val="26"/>
          <w:lang w:eastAsia="es-UY"/>
          <w14:ligatures w14:val="none"/>
        </w:rPr>
        <w:t> , pero conocida con el antiguo nombre de </w:t>
      </w:r>
      <w:r w:rsidRPr="00F351DA">
        <w:rPr>
          <w:rFonts w:ascii="Arial" w:eastAsia="Times New Roman" w:hAnsi="Arial" w:cs="Arial"/>
          <w:b/>
          <w:bCs/>
          <w:color w:val="333333"/>
          <w:kern w:val="0"/>
          <w:sz w:val="26"/>
          <w:szCs w:val="26"/>
          <w:lang w:eastAsia="es-UY"/>
          <w14:ligatures w14:val="none"/>
        </w:rPr>
        <w:t>Nicea</w:t>
      </w:r>
      <w:r w:rsidRPr="00F351DA">
        <w:rPr>
          <w:rFonts w:ascii="Arial" w:eastAsia="Times New Roman" w:hAnsi="Arial" w:cs="Arial"/>
          <w:color w:val="333333"/>
          <w:kern w:val="0"/>
          <w:sz w:val="26"/>
          <w:szCs w:val="26"/>
          <w:lang w:eastAsia="es-UY"/>
          <w14:ligatures w14:val="none"/>
        </w:rPr>
        <w:t xml:space="preserve"> , un topónimo que entusiasma </w:t>
      </w:r>
      <w:r w:rsidRPr="00F351DA">
        <w:rPr>
          <w:rFonts w:ascii="Arial" w:eastAsia="Times New Roman" w:hAnsi="Arial" w:cs="Arial"/>
          <w:color w:val="333333"/>
          <w:kern w:val="0"/>
          <w:sz w:val="26"/>
          <w:szCs w:val="26"/>
          <w:lang w:eastAsia="es-UY"/>
          <w14:ligatures w14:val="none"/>
        </w:rPr>
        <w:lastRenderedPageBreak/>
        <w:t>a los teólogos y que se celebró este año con motivo del aniversario de un concilio que tuvo lugar hace 17 siglos. En el pasado, yo también me propuse visitar esta memoria cristiana, deteniéndome en la iglesia de </w:t>
      </w:r>
      <w:r w:rsidRPr="00F351DA">
        <w:rPr>
          <w:rFonts w:ascii="Arial" w:eastAsia="Times New Roman" w:hAnsi="Arial" w:cs="Arial"/>
          <w:b/>
          <w:bCs/>
          <w:color w:val="333333"/>
          <w:kern w:val="0"/>
          <w:sz w:val="26"/>
          <w:szCs w:val="26"/>
          <w:lang w:eastAsia="es-UY"/>
          <w14:ligatures w14:val="none"/>
        </w:rPr>
        <w:t>Santa Sofía</w:t>
      </w:r>
      <w:r w:rsidRPr="00F351DA">
        <w:rPr>
          <w:rFonts w:ascii="Arial" w:eastAsia="Times New Roman" w:hAnsi="Arial" w:cs="Arial"/>
          <w:color w:val="333333"/>
          <w:kern w:val="0"/>
          <w:sz w:val="26"/>
          <w:szCs w:val="26"/>
          <w:lang w:eastAsia="es-UY"/>
          <w14:ligatures w14:val="none"/>
        </w:rPr>
        <w:t> (hoy un museo) frente a los murales del ábside: el recuerdo, sin embargo, fue a un concilio posterior, el de </w:t>
      </w:r>
      <w:r w:rsidRPr="00F351DA">
        <w:rPr>
          <w:rFonts w:ascii="Arial" w:eastAsia="Times New Roman" w:hAnsi="Arial" w:cs="Arial"/>
          <w:b/>
          <w:bCs/>
          <w:color w:val="333333"/>
          <w:kern w:val="0"/>
          <w:sz w:val="26"/>
          <w:szCs w:val="26"/>
          <w:lang w:eastAsia="es-UY"/>
          <w14:ligatures w14:val="none"/>
        </w:rPr>
        <w:t>Nicea II</w:t>
      </w:r>
      <w:r w:rsidRPr="00F351DA">
        <w:rPr>
          <w:rFonts w:ascii="Arial" w:eastAsia="Times New Roman" w:hAnsi="Arial" w:cs="Arial"/>
          <w:color w:val="333333"/>
          <w:kern w:val="0"/>
          <w:sz w:val="26"/>
          <w:szCs w:val="26"/>
          <w:lang w:eastAsia="es-UY"/>
          <w14:ligatures w14:val="none"/>
        </w:rPr>
        <w:t> , celebrado en ese templo en 787, particularmente importante para mí por su condena de la iconoclasia y, por lo tanto, por la restauración de la legitimidad del arte figurativo cristiano.</w:t>
      </w:r>
    </w:p>
    <w:p w14:paraId="5D1B078B"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1D280FB8" w14:textId="77777777"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Dejemos, sin embargo, la actual </w:t>
      </w:r>
      <w:proofErr w:type="spellStart"/>
      <w:r w:rsidRPr="00F351DA">
        <w:rPr>
          <w:rFonts w:ascii="Arial" w:eastAsia="Times New Roman" w:hAnsi="Arial" w:cs="Arial"/>
          <w:b/>
          <w:bCs/>
          <w:color w:val="333333"/>
          <w:kern w:val="0"/>
          <w:sz w:val="26"/>
          <w:szCs w:val="26"/>
          <w:lang w:eastAsia="es-UY"/>
          <w14:ligatures w14:val="none"/>
        </w:rPr>
        <w:t>Iznik</w:t>
      </w:r>
      <w:proofErr w:type="spellEnd"/>
      <w:r w:rsidRPr="00F351DA">
        <w:rPr>
          <w:rFonts w:ascii="Arial" w:eastAsia="Times New Roman" w:hAnsi="Arial" w:cs="Arial"/>
          <w:color w:val="333333"/>
          <w:kern w:val="0"/>
          <w:sz w:val="26"/>
          <w:szCs w:val="26"/>
          <w:lang w:eastAsia="es-UY"/>
          <w14:ligatures w14:val="none"/>
        </w:rPr>
        <w:t> , situada a orillas de un lago, con su doble anillo de murallas y las antiguas casas de madera otomanas que se proyectan hacia el exterior, para regresar a ese concilio, fundamental en la historia de la fe eclesiástica, convocado por el emperador </w:t>
      </w:r>
      <w:r w:rsidRPr="00F351DA">
        <w:rPr>
          <w:rFonts w:ascii="Arial" w:eastAsia="Times New Roman" w:hAnsi="Arial" w:cs="Arial"/>
          <w:b/>
          <w:bCs/>
          <w:color w:val="333333"/>
          <w:kern w:val="0"/>
          <w:sz w:val="26"/>
          <w:szCs w:val="26"/>
          <w:lang w:eastAsia="es-UY"/>
          <w14:ligatures w14:val="none"/>
        </w:rPr>
        <w:t>Constantino</w:t>
      </w:r>
      <w:r w:rsidRPr="00F351DA">
        <w:rPr>
          <w:rFonts w:ascii="Arial" w:eastAsia="Times New Roman" w:hAnsi="Arial" w:cs="Arial"/>
          <w:color w:val="333333"/>
          <w:kern w:val="0"/>
          <w:sz w:val="26"/>
          <w:szCs w:val="26"/>
          <w:lang w:eastAsia="es-UY"/>
          <w14:ligatures w14:val="none"/>
        </w:rPr>
        <w:t> , quien asumió, como en el clasicismo pagano, también el manto sagrado de </w:t>
      </w:r>
      <w:proofErr w:type="spellStart"/>
      <w:r w:rsidRPr="00F351DA">
        <w:rPr>
          <w:rFonts w:ascii="Arial" w:eastAsia="Times New Roman" w:hAnsi="Arial" w:cs="Arial"/>
          <w:i/>
          <w:iCs/>
          <w:color w:val="333333"/>
          <w:kern w:val="0"/>
          <w:sz w:val="26"/>
          <w:szCs w:val="26"/>
          <w:lang w:eastAsia="es-UY"/>
          <w14:ligatures w14:val="none"/>
        </w:rPr>
        <w:t>pontifex</w:t>
      </w:r>
      <w:proofErr w:type="spellEnd"/>
      <w:r w:rsidRPr="00F351DA">
        <w:rPr>
          <w:rFonts w:ascii="Arial" w:eastAsia="Times New Roman" w:hAnsi="Arial" w:cs="Arial"/>
          <w:i/>
          <w:iCs/>
          <w:color w:val="333333"/>
          <w:kern w:val="0"/>
          <w:sz w:val="26"/>
          <w:szCs w:val="26"/>
          <w:lang w:eastAsia="es-UY"/>
          <w14:ligatures w14:val="none"/>
        </w:rPr>
        <w:t xml:space="preserve"> </w:t>
      </w:r>
      <w:proofErr w:type="spellStart"/>
      <w:r w:rsidRPr="00F351DA">
        <w:rPr>
          <w:rFonts w:ascii="Arial" w:eastAsia="Times New Roman" w:hAnsi="Arial" w:cs="Arial"/>
          <w:i/>
          <w:iCs/>
          <w:color w:val="333333"/>
          <w:kern w:val="0"/>
          <w:sz w:val="26"/>
          <w:szCs w:val="26"/>
          <w:lang w:eastAsia="es-UY"/>
          <w14:ligatures w14:val="none"/>
        </w:rPr>
        <w:t>maximus</w:t>
      </w:r>
      <w:proofErr w:type="spellEnd"/>
      <w:r w:rsidRPr="00F351DA">
        <w:rPr>
          <w:rFonts w:ascii="Arial" w:eastAsia="Times New Roman" w:hAnsi="Arial" w:cs="Arial"/>
          <w:color w:val="333333"/>
          <w:kern w:val="0"/>
          <w:sz w:val="26"/>
          <w:szCs w:val="26"/>
          <w:lang w:eastAsia="es-UY"/>
          <w14:ligatures w14:val="none"/>
        </w:rPr>
        <w:t> . Había aparecido como el salvador de la cristiandad tras la terrible persecución de </w:t>
      </w:r>
      <w:r w:rsidRPr="00F351DA">
        <w:rPr>
          <w:rFonts w:ascii="Arial" w:eastAsia="Times New Roman" w:hAnsi="Arial" w:cs="Arial"/>
          <w:b/>
          <w:bCs/>
          <w:color w:val="333333"/>
          <w:kern w:val="0"/>
          <w:sz w:val="26"/>
          <w:szCs w:val="26"/>
          <w:lang w:eastAsia="es-UY"/>
          <w14:ligatures w14:val="none"/>
        </w:rPr>
        <w:t>Diocleciano</w:t>
      </w:r>
      <w:r w:rsidRPr="00F351DA">
        <w:rPr>
          <w:rFonts w:ascii="Arial" w:eastAsia="Times New Roman" w:hAnsi="Arial" w:cs="Arial"/>
          <w:color w:val="333333"/>
          <w:kern w:val="0"/>
          <w:sz w:val="26"/>
          <w:szCs w:val="26"/>
          <w:lang w:eastAsia="es-UY"/>
          <w14:ligatures w14:val="none"/>
        </w:rPr>
        <w:t> y </w:t>
      </w:r>
      <w:proofErr w:type="spellStart"/>
      <w:r w:rsidRPr="00F351DA">
        <w:rPr>
          <w:rFonts w:ascii="Arial" w:eastAsia="Times New Roman" w:hAnsi="Arial" w:cs="Arial"/>
          <w:b/>
          <w:bCs/>
          <w:color w:val="333333"/>
          <w:kern w:val="0"/>
          <w:sz w:val="26"/>
          <w:szCs w:val="26"/>
          <w:lang w:eastAsia="es-UY"/>
          <w14:ligatures w14:val="none"/>
        </w:rPr>
        <w:t>Galerio</w:t>
      </w:r>
      <w:proofErr w:type="spellEnd"/>
      <w:r w:rsidRPr="00F351DA">
        <w:rPr>
          <w:rFonts w:ascii="Arial" w:eastAsia="Times New Roman" w:hAnsi="Arial" w:cs="Arial"/>
          <w:color w:val="333333"/>
          <w:kern w:val="0"/>
          <w:sz w:val="26"/>
          <w:szCs w:val="26"/>
          <w:lang w:eastAsia="es-UY"/>
          <w14:ligatures w14:val="none"/>
        </w:rPr>
        <w:t> y con su supremacía sobre </w:t>
      </w:r>
      <w:r w:rsidRPr="00F351DA">
        <w:rPr>
          <w:rFonts w:ascii="Arial" w:eastAsia="Times New Roman" w:hAnsi="Arial" w:cs="Arial"/>
          <w:b/>
          <w:bCs/>
          <w:color w:val="333333"/>
          <w:kern w:val="0"/>
          <w:sz w:val="26"/>
          <w:szCs w:val="26"/>
          <w:lang w:eastAsia="es-UY"/>
          <w14:ligatures w14:val="none"/>
        </w:rPr>
        <w:t>Majencio</w:t>
      </w:r>
      <w:r w:rsidRPr="00F351DA">
        <w:rPr>
          <w:rFonts w:ascii="Arial" w:eastAsia="Times New Roman" w:hAnsi="Arial" w:cs="Arial"/>
          <w:color w:val="333333"/>
          <w:kern w:val="0"/>
          <w:sz w:val="26"/>
          <w:szCs w:val="26"/>
          <w:lang w:eastAsia="es-UY"/>
          <w14:ligatures w14:val="none"/>
        </w:rPr>
        <w:t xml:space="preserve"> en la ahora famosa batalla del Puente </w:t>
      </w:r>
      <w:proofErr w:type="spellStart"/>
      <w:r w:rsidRPr="00F351DA">
        <w:rPr>
          <w:rFonts w:ascii="Arial" w:eastAsia="Times New Roman" w:hAnsi="Arial" w:cs="Arial"/>
          <w:color w:val="333333"/>
          <w:kern w:val="0"/>
          <w:sz w:val="26"/>
          <w:szCs w:val="26"/>
          <w:lang w:eastAsia="es-UY"/>
          <w14:ligatures w14:val="none"/>
        </w:rPr>
        <w:t>Milvio</w:t>
      </w:r>
      <w:proofErr w:type="spellEnd"/>
      <w:r w:rsidRPr="00F351DA">
        <w:rPr>
          <w:rFonts w:ascii="Arial" w:eastAsia="Times New Roman" w:hAnsi="Arial" w:cs="Arial"/>
          <w:color w:val="333333"/>
          <w:kern w:val="0"/>
          <w:sz w:val="26"/>
          <w:szCs w:val="26"/>
          <w:lang w:eastAsia="es-UY"/>
          <w14:ligatures w14:val="none"/>
        </w:rPr>
        <w:t xml:space="preserve"> en </w:t>
      </w:r>
      <w:r w:rsidRPr="00F351DA">
        <w:rPr>
          <w:rFonts w:ascii="Arial" w:eastAsia="Times New Roman" w:hAnsi="Arial" w:cs="Arial"/>
          <w:b/>
          <w:bCs/>
          <w:color w:val="333333"/>
          <w:kern w:val="0"/>
          <w:sz w:val="26"/>
          <w:szCs w:val="26"/>
          <w:lang w:eastAsia="es-UY"/>
          <w14:ligatures w14:val="none"/>
        </w:rPr>
        <w:t>Roma</w:t>
      </w:r>
      <w:r w:rsidRPr="00F351DA">
        <w:rPr>
          <w:rFonts w:ascii="Arial" w:eastAsia="Times New Roman" w:hAnsi="Arial" w:cs="Arial"/>
          <w:color w:val="333333"/>
          <w:kern w:val="0"/>
          <w:sz w:val="26"/>
          <w:szCs w:val="26"/>
          <w:lang w:eastAsia="es-UY"/>
          <w14:ligatures w14:val="none"/>
        </w:rPr>
        <w:t> el 28 de octubre de 312. También habría contado con un cantante ideal de sus hazañas, el mayor intelectual de la época, el historiador </w:t>
      </w:r>
      <w:r w:rsidRPr="00F351DA">
        <w:rPr>
          <w:rFonts w:ascii="Arial" w:eastAsia="Times New Roman" w:hAnsi="Arial" w:cs="Arial"/>
          <w:b/>
          <w:bCs/>
          <w:color w:val="333333"/>
          <w:kern w:val="0"/>
          <w:sz w:val="26"/>
          <w:szCs w:val="26"/>
          <w:lang w:eastAsia="es-UY"/>
          <w14:ligatures w14:val="none"/>
        </w:rPr>
        <w:t>Eusebio</w:t>
      </w:r>
      <w:r w:rsidRPr="00F351DA">
        <w:rPr>
          <w:rFonts w:ascii="Arial" w:eastAsia="Times New Roman" w:hAnsi="Arial" w:cs="Arial"/>
          <w:color w:val="333333"/>
          <w:kern w:val="0"/>
          <w:sz w:val="26"/>
          <w:szCs w:val="26"/>
          <w:lang w:eastAsia="es-UY"/>
          <w14:ligatures w14:val="none"/>
        </w:rPr>
        <w:t> , obispo de </w:t>
      </w:r>
      <w:proofErr w:type="spellStart"/>
      <w:r w:rsidRPr="00F351DA">
        <w:rPr>
          <w:rFonts w:ascii="Arial" w:eastAsia="Times New Roman" w:hAnsi="Arial" w:cs="Arial"/>
          <w:b/>
          <w:bCs/>
          <w:color w:val="333333"/>
          <w:kern w:val="0"/>
          <w:sz w:val="26"/>
          <w:szCs w:val="26"/>
          <w:lang w:eastAsia="es-UY"/>
          <w14:ligatures w14:val="none"/>
        </w:rPr>
        <w:t>Cesarea</w:t>
      </w:r>
      <w:proofErr w:type="spellEnd"/>
      <w:r w:rsidRPr="00F351DA">
        <w:rPr>
          <w:rFonts w:ascii="Arial" w:eastAsia="Times New Roman" w:hAnsi="Arial" w:cs="Arial"/>
          <w:color w:val="333333"/>
          <w:kern w:val="0"/>
          <w:sz w:val="26"/>
          <w:szCs w:val="26"/>
          <w:lang w:eastAsia="es-UY"/>
          <w14:ligatures w14:val="none"/>
        </w:rPr>
        <w:t> . Fue él quien compuso la </w:t>
      </w:r>
      <w:r w:rsidRPr="00F351DA">
        <w:rPr>
          <w:rFonts w:ascii="Arial" w:eastAsia="Times New Roman" w:hAnsi="Arial" w:cs="Arial"/>
          <w:b/>
          <w:bCs/>
          <w:color w:val="333333"/>
          <w:kern w:val="0"/>
          <w:sz w:val="26"/>
          <w:szCs w:val="26"/>
          <w:lang w:eastAsia="es-UY"/>
          <w14:ligatures w14:val="none"/>
        </w:rPr>
        <w:t>Vida de Constantino</w:t>
      </w:r>
      <w:r w:rsidRPr="00F351DA">
        <w:rPr>
          <w:rFonts w:ascii="Arial" w:eastAsia="Times New Roman" w:hAnsi="Arial" w:cs="Arial"/>
          <w:color w:val="333333"/>
          <w:kern w:val="0"/>
          <w:sz w:val="26"/>
          <w:szCs w:val="26"/>
          <w:lang w:eastAsia="es-UY"/>
          <w14:ligatures w14:val="none"/>
        </w:rPr>
        <w:t> que nos permite adentrarnos en el </w:t>
      </w:r>
      <w:hyperlink r:id="rId8" w:tgtFrame="_blank" w:history="1">
        <w:r w:rsidRPr="00F351DA">
          <w:rPr>
            <w:rFonts w:ascii="Arial" w:eastAsia="Times New Roman" w:hAnsi="Arial" w:cs="Arial"/>
            <w:color w:val="FC6B01"/>
            <w:kern w:val="0"/>
            <w:sz w:val="26"/>
            <w:szCs w:val="26"/>
            <w:u w:val="single"/>
            <w:lang w:eastAsia="es-UY"/>
            <w14:ligatures w14:val="none"/>
          </w:rPr>
          <w:t>Concilio de Nicea</w:t>
        </w:r>
      </w:hyperlink>
      <w:r w:rsidRPr="00F351DA">
        <w:rPr>
          <w:rFonts w:ascii="Arial" w:eastAsia="Times New Roman" w:hAnsi="Arial" w:cs="Arial"/>
          <w:color w:val="333333"/>
          <w:kern w:val="0"/>
          <w:sz w:val="26"/>
          <w:szCs w:val="26"/>
          <w:lang w:eastAsia="es-UY"/>
          <w14:ligatures w14:val="none"/>
        </w:rPr>
        <w:t> , donde, según </w:t>
      </w:r>
      <w:r w:rsidRPr="00F351DA">
        <w:rPr>
          <w:rFonts w:ascii="Arial" w:eastAsia="Times New Roman" w:hAnsi="Arial" w:cs="Arial"/>
          <w:b/>
          <w:bCs/>
          <w:color w:val="333333"/>
          <w:kern w:val="0"/>
          <w:sz w:val="26"/>
          <w:szCs w:val="26"/>
          <w:lang w:eastAsia="es-UY"/>
          <w14:ligatures w14:val="none"/>
        </w:rPr>
        <w:t>Hilario de Poitiers</w:t>
      </w:r>
      <w:r w:rsidRPr="00F351DA">
        <w:rPr>
          <w:rFonts w:ascii="Arial" w:eastAsia="Times New Roman" w:hAnsi="Arial" w:cs="Arial"/>
          <w:color w:val="333333"/>
          <w:kern w:val="0"/>
          <w:sz w:val="26"/>
          <w:szCs w:val="26"/>
          <w:lang w:eastAsia="es-UY"/>
          <w14:ligatures w14:val="none"/>
        </w:rPr>
        <w:t> , se reunirían no menos de 318 obispos, pero sin el obispo de Roma, el papa </w:t>
      </w:r>
      <w:r w:rsidRPr="00F351DA">
        <w:rPr>
          <w:rFonts w:ascii="Arial" w:eastAsia="Times New Roman" w:hAnsi="Arial" w:cs="Arial"/>
          <w:b/>
          <w:bCs/>
          <w:color w:val="333333"/>
          <w:kern w:val="0"/>
          <w:sz w:val="26"/>
          <w:szCs w:val="26"/>
          <w:lang w:eastAsia="es-UY"/>
          <w14:ligatures w14:val="none"/>
        </w:rPr>
        <w:t>Silvestre</w:t>
      </w:r>
      <w:r w:rsidRPr="00F351DA">
        <w:rPr>
          <w:rFonts w:ascii="Arial" w:eastAsia="Times New Roman" w:hAnsi="Arial" w:cs="Arial"/>
          <w:color w:val="333333"/>
          <w:kern w:val="0"/>
          <w:sz w:val="26"/>
          <w:szCs w:val="26"/>
          <w:lang w:eastAsia="es-UY"/>
          <w14:ligatures w14:val="none"/>
        </w:rPr>
        <w:t> . De hecho, lo que nos guía ahora a participar en este evento es, entre los numerosos ensayos del pasado, un sugerente libro escrito en colaboración, con el objetivo de demostrar cómo el </w:t>
      </w:r>
      <w:r w:rsidRPr="00F351DA">
        <w:rPr>
          <w:rFonts w:ascii="Arial" w:eastAsia="Times New Roman" w:hAnsi="Arial" w:cs="Arial"/>
          <w:b/>
          <w:bCs/>
          <w:color w:val="333333"/>
          <w:kern w:val="0"/>
          <w:sz w:val="26"/>
          <w:szCs w:val="26"/>
          <w:lang w:eastAsia="es-UY"/>
          <w14:ligatures w14:val="none"/>
        </w:rPr>
        <w:t>Concilio de Nicea</w:t>
      </w:r>
      <w:r w:rsidRPr="00F351DA">
        <w:rPr>
          <w:rFonts w:ascii="Arial" w:eastAsia="Times New Roman" w:hAnsi="Arial" w:cs="Arial"/>
          <w:color w:val="333333"/>
          <w:kern w:val="0"/>
          <w:sz w:val="26"/>
          <w:szCs w:val="26"/>
          <w:lang w:eastAsia="es-UY"/>
          <w14:ligatures w14:val="none"/>
        </w:rPr>
        <w:t> cambió la historia. El texto no solo es significativo, sino también muy agradable de leer.</w:t>
      </w:r>
    </w:p>
    <w:p w14:paraId="40398B23"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24EFC755" w14:textId="77777777"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De hecho, el rigor de la documentación histórico-teológica está garantizado por un refinado estudioso del cristianismo primitivo, </w:t>
      </w:r>
      <w:r w:rsidRPr="00F351DA">
        <w:rPr>
          <w:rFonts w:ascii="Arial" w:eastAsia="Times New Roman" w:hAnsi="Arial" w:cs="Arial"/>
          <w:b/>
          <w:bCs/>
          <w:color w:val="333333"/>
          <w:kern w:val="0"/>
          <w:sz w:val="26"/>
          <w:szCs w:val="26"/>
          <w:lang w:eastAsia="es-UY"/>
          <w14:ligatures w14:val="none"/>
        </w:rPr>
        <w:t xml:space="preserve">Giovanni </w:t>
      </w:r>
      <w:proofErr w:type="spellStart"/>
      <w:r w:rsidRPr="00F351DA">
        <w:rPr>
          <w:rFonts w:ascii="Arial" w:eastAsia="Times New Roman" w:hAnsi="Arial" w:cs="Arial"/>
          <w:b/>
          <w:bCs/>
          <w:color w:val="333333"/>
          <w:kern w:val="0"/>
          <w:sz w:val="26"/>
          <w:szCs w:val="26"/>
          <w:lang w:eastAsia="es-UY"/>
          <w14:ligatures w14:val="none"/>
        </w:rPr>
        <w:t>Maria</w:t>
      </w:r>
      <w:proofErr w:type="spellEnd"/>
      <w:r w:rsidRPr="00F351DA">
        <w:rPr>
          <w:rFonts w:ascii="Arial" w:eastAsia="Times New Roman" w:hAnsi="Arial" w:cs="Arial"/>
          <w:b/>
          <w:bCs/>
          <w:color w:val="333333"/>
          <w:kern w:val="0"/>
          <w:sz w:val="26"/>
          <w:szCs w:val="26"/>
          <w:lang w:eastAsia="es-UY"/>
          <w14:ligatures w14:val="none"/>
        </w:rPr>
        <w:t xml:space="preserve"> Vian</w:t>
      </w:r>
      <w:r w:rsidRPr="00F351DA">
        <w:rPr>
          <w:rFonts w:ascii="Arial" w:eastAsia="Times New Roman" w:hAnsi="Arial" w:cs="Arial"/>
          <w:color w:val="333333"/>
          <w:kern w:val="0"/>
          <w:sz w:val="26"/>
          <w:szCs w:val="26"/>
          <w:lang w:eastAsia="es-UY"/>
          <w14:ligatures w14:val="none"/>
        </w:rPr>
        <w:t> , quien también fue director del </w:t>
      </w:r>
      <w:proofErr w:type="spellStart"/>
      <w:r w:rsidRPr="00F351DA">
        <w:rPr>
          <w:rFonts w:ascii="Arial" w:eastAsia="Times New Roman" w:hAnsi="Arial" w:cs="Arial"/>
          <w:b/>
          <w:bCs/>
          <w:color w:val="333333"/>
          <w:kern w:val="0"/>
          <w:sz w:val="26"/>
          <w:szCs w:val="26"/>
          <w:lang w:eastAsia="es-UY"/>
          <w14:ligatures w14:val="none"/>
        </w:rPr>
        <w:t>Osservatore</w:t>
      </w:r>
      <w:proofErr w:type="spellEnd"/>
      <w:r w:rsidRPr="00F351DA">
        <w:rPr>
          <w:rFonts w:ascii="Arial" w:eastAsia="Times New Roman" w:hAnsi="Arial" w:cs="Arial"/>
          <w:b/>
          <w:bCs/>
          <w:color w:val="333333"/>
          <w:kern w:val="0"/>
          <w:sz w:val="26"/>
          <w:szCs w:val="26"/>
          <w:lang w:eastAsia="es-UY"/>
          <w14:ligatures w14:val="none"/>
        </w:rPr>
        <w:t xml:space="preserve"> Romano</w:t>
      </w:r>
      <w:r w:rsidRPr="00F351DA">
        <w:rPr>
          <w:rFonts w:ascii="Arial" w:eastAsia="Times New Roman" w:hAnsi="Arial" w:cs="Arial"/>
          <w:color w:val="333333"/>
          <w:kern w:val="0"/>
          <w:sz w:val="26"/>
          <w:szCs w:val="26"/>
          <w:lang w:eastAsia="es-UY"/>
          <w14:ligatures w14:val="none"/>
        </w:rPr>
        <w:t>  entre 2007 y 2018; sin embargo, en la redacción contó con la colaboración de un periodista de alto nivel como </w:t>
      </w:r>
      <w:hyperlink r:id="rId9" w:history="1">
        <w:r w:rsidRPr="00F351DA">
          <w:rPr>
            <w:rFonts w:ascii="Arial" w:eastAsia="Times New Roman" w:hAnsi="Arial" w:cs="Arial"/>
            <w:color w:val="FC6B01"/>
            <w:kern w:val="0"/>
            <w:sz w:val="26"/>
            <w:szCs w:val="26"/>
            <w:u w:val="single"/>
            <w:lang w:eastAsia="es-UY"/>
            <w14:ligatures w14:val="none"/>
          </w:rPr>
          <w:t xml:space="preserve">Gian Guido </w:t>
        </w:r>
        <w:proofErr w:type="spellStart"/>
        <w:r w:rsidRPr="00F351DA">
          <w:rPr>
            <w:rFonts w:ascii="Arial" w:eastAsia="Times New Roman" w:hAnsi="Arial" w:cs="Arial"/>
            <w:color w:val="FC6B01"/>
            <w:kern w:val="0"/>
            <w:sz w:val="26"/>
            <w:szCs w:val="26"/>
            <w:u w:val="single"/>
            <w:lang w:eastAsia="es-UY"/>
            <w14:ligatures w14:val="none"/>
          </w:rPr>
          <w:t>Vecchi</w:t>
        </w:r>
        <w:proofErr w:type="spellEnd"/>
      </w:hyperlink>
      <w:r w:rsidRPr="00F351DA">
        <w:rPr>
          <w:rFonts w:ascii="Arial" w:eastAsia="Times New Roman" w:hAnsi="Arial" w:cs="Arial"/>
          <w:color w:val="333333"/>
          <w:kern w:val="0"/>
          <w:sz w:val="26"/>
          <w:szCs w:val="26"/>
          <w:lang w:eastAsia="es-UY"/>
          <w14:ligatures w14:val="none"/>
        </w:rPr>
        <w:t> , vaticanista del </w:t>
      </w:r>
      <w:r w:rsidRPr="00F351DA">
        <w:rPr>
          <w:rFonts w:ascii="Arial" w:eastAsia="Times New Roman" w:hAnsi="Arial" w:cs="Arial"/>
          <w:b/>
          <w:bCs/>
          <w:color w:val="333333"/>
          <w:kern w:val="0"/>
          <w:sz w:val="26"/>
          <w:szCs w:val="26"/>
          <w:lang w:eastAsia="es-UY"/>
          <w14:ligatures w14:val="none"/>
        </w:rPr>
        <w:t xml:space="preserve">Corriere </w:t>
      </w:r>
      <w:proofErr w:type="spellStart"/>
      <w:r w:rsidRPr="00F351DA">
        <w:rPr>
          <w:rFonts w:ascii="Arial" w:eastAsia="Times New Roman" w:hAnsi="Arial" w:cs="Arial"/>
          <w:b/>
          <w:bCs/>
          <w:color w:val="333333"/>
          <w:kern w:val="0"/>
          <w:sz w:val="26"/>
          <w:szCs w:val="26"/>
          <w:lang w:eastAsia="es-UY"/>
          <w14:ligatures w14:val="none"/>
        </w:rPr>
        <w:t>della</w:t>
      </w:r>
      <w:proofErr w:type="spellEnd"/>
      <w:r w:rsidRPr="00F351DA">
        <w:rPr>
          <w:rFonts w:ascii="Arial" w:eastAsia="Times New Roman" w:hAnsi="Arial" w:cs="Arial"/>
          <w:b/>
          <w:bCs/>
          <w:color w:val="333333"/>
          <w:kern w:val="0"/>
          <w:sz w:val="26"/>
          <w:szCs w:val="26"/>
          <w:lang w:eastAsia="es-UY"/>
          <w14:ligatures w14:val="none"/>
        </w:rPr>
        <w:t xml:space="preserve"> Sera</w:t>
      </w:r>
      <w:r w:rsidRPr="00F351DA">
        <w:rPr>
          <w:rFonts w:ascii="Arial" w:eastAsia="Times New Roman" w:hAnsi="Arial" w:cs="Arial"/>
          <w:color w:val="333333"/>
          <w:kern w:val="0"/>
          <w:sz w:val="26"/>
          <w:szCs w:val="26"/>
          <w:lang w:eastAsia="es-UY"/>
          <w14:ligatures w14:val="none"/>
        </w:rPr>
        <w:t> , lo que convierte estas páginas en una narración casi apasionante. De este modo, se crea la posibilidad de que el lector se sienta prácticamente en el auditorio de dicho concilio, inaugurado el 20 de mayo de 325 y clausurado posiblemente el 19 de junio, tras la aprobación de veinte cánones.</w:t>
      </w:r>
    </w:p>
    <w:p w14:paraId="3ABF1A8A"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1DBED848" w14:textId="77777777"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Hubo dos etapas: en la primera se declaró heterodoxa la doctrina de </w:t>
      </w:r>
      <w:r w:rsidRPr="00F351DA">
        <w:rPr>
          <w:rFonts w:ascii="Arial" w:eastAsia="Times New Roman" w:hAnsi="Arial" w:cs="Arial"/>
          <w:b/>
          <w:bCs/>
          <w:color w:val="333333"/>
          <w:kern w:val="0"/>
          <w:sz w:val="26"/>
          <w:szCs w:val="26"/>
          <w:lang w:eastAsia="es-UY"/>
          <w14:ligatures w14:val="none"/>
        </w:rPr>
        <w:t>Arrio y en la segunda se aprobó el Credo, que todavía hoy se profesa cada domingo en la liturgia (el intento de llegar a un acuerdo sobre la fecha común de la Pascua</w:t>
      </w:r>
      <w:r w:rsidRPr="00F351DA">
        <w:rPr>
          <w:rFonts w:ascii="Arial" w:eastAsia="Times New Roman" w:hAnsi="Arial" w:cs="Arial"/>
          <w:color w:val="333333"/>
          <w:kern w:val="0"/>
          <w:sz w:val="26"/>
          <w:szCs w:val="26"/>
          <w:lang w:eastAsia="es-UY"/>
          <w14:ligatures w14:val="none"/>
        </w:rPr>
        <w:t> fracasó).</w:t>
      </w:r>
    </w:p>
    <w:p w14:paraId="0B712519"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3D7BF1D0" w14:textId="77777777"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La narrativa de </w:t>
      </w:r>
      <w:r w:rsidRPr="00F351DA">
        <w:rPr>
          <w:rFonts w:ascii="Arial" w:eastAsia="Times New Roman" w:hAnsi="Arial" w:cs="Arial"/>
          <w:b/>
          <w:bCs/>
          <w:color w:val="333333"/>
          <w:kern w:val="0"/>
          <w:sz w:val="26"/>
          <w:szCs w:val="26"/>
          <w:lang w:eastAsia="es-UY"/>
          <w14:ligatures w14:val="none"/>
        </w:rPr>
        <w:t>Vian-</w:t>
      </w:r>
      <w:proofErr w:type="spellStart"/>
      <w:r w:rsidRPr="00F351DA">
        <w:rPr>
          <w:rFonts w:ascii="Arial" w:eastAsia="Times New Roman" w:hAnsi="Arial" w:cs="Arial"/>
          <w:b/>
          <w:bCs/>
          <w:color w:val="333333"/>
          <w:kern w:val="0"/>
          <w:sz w:val="26"/>
          <w:szCs w:val="26"/>
          <w:lang w:eastAsia="es-UY"/>
          <w14:ligatures w14:val="none"/>
        </w:rPr>
        <w:t>Vecchi</w:t>
      </w:r>
      <w:proofErr w:type="spellEnd"/>
      <w:r w:rsidRPr="00F351DA">
        <w:rPr>
          <w:rFonts w:ascii="Arial" w:eastAsia="Times New Roman" w:hAnsi="Arial" w:cs="Arial"/>
          <w:color w:val="333333"/>
          <w:kern w:val="0"/>
          <w:sz w:val="26"/>
          <w:szCs w:val="26"/>
          <w:lang w:eastAsia="es-UY"/>
          <w14:ligatures w14:val="none"/>
        </w:rPr>
        <w:t xml:space="preserve"> , sin embargo, parte del contexto de siglos anteriores para comprender mejor la complejidad del tema central </w:t>
      </w:r>
      <w:r w:rsidRPr="00F351DA">
        <w:rPr>
          <w:rFonts w:ascii="Arial" w:eastAsia="Times New Roman" w:hAnsi="Arial" w:cs="Arial"/>
          <w:color w:val="333333"/>
          <w:kern w:val="0"/>
          <w:sz w:val="26"/>
          <w:szCs w:val="26"/>
          <w:lang w:eastAsia="es-UY"/>
          <w14:ligatures w14:val="none"/>
        </w:rPr>
        <w:lastRenderedPageBreak/>
        <w:t>de </w:t>
      </w:r>
      <w:r w:rsidRPr="00F351DA">
        <w:rPr>
          <w:rFonts w:ascii="Arial" w:eastAsia="Times New Roman" w:hAnsi="Arial" w:cs="Arial"/>
          <w:b/>
          <w:bCs/>
          <w:color w:val="333333"/>
          <w:kern w:val="0"/>
          <w:sz w:val="26"/>
          <w:szCs w:val="26"/>
          <w:lang w:eastAsia="es-UY"/>
          <w14:ligatures w14:val="none"/>
        </w:rPr>
        <w:t>Nicea</w:t>
      </w:r>
      <w:r w:rsidRPr="00F351DA">
        <w:rPr>
          <w:rFonts w:ascii="Arial" w:eastAsia="Times New Roman" w:hAnsi="Arial" w:cs="Arial"/>
          <w:color w:val="333333"/>
          <w:kern w:val="0"/>
          <w:sz w:val="26"/>
          <w:szCs w:val="26"/>
          <w:lang w:eastAsia="es-UY"/>
          <w14:ligatures w14:val="none"/>
        </w:rPr>
        <w:t> , que se convirtió en el estuario de un viaje, o mejor dicho, en el punto de inflexión de la historia del cristianismo, no solo a nivel dogmático, sino también epistemológico. De hecho, la formulación teológica recurrió a la instrumentación lingüística de la cultura griega helenística. Por ello, el capítulo titulado precisamente "punto de inflexión" es fundamental para la trama del ensayo y utiliza un doble esquema hermenéutico de matriz secular, empleado en otros ámbitos.</w:t>
      </w:r>
    </w:p>
    <w:p w14:paraId="0392CF92"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56F8801E" w14:textId="77777777" w:rsid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Por un lado, está la tesis de </w:t>
      </w:r>
      <w:hyperlink r:id="rId10" w:tgtFrame="_blank" w:history="1">
        <w:r w:rsidRPr="00F351DA">
          <w:rPr>
            <w:rFonts w:ascii="Arial" w:eastAsia="Times New Roman" w:hAnsi="Arial" w:cs="Arial"/>
            <w:color w:val="FC6B01"/>
            <w:kern w:val="0"/>
            <w:sz w:val="26"/>
            <w:szCs w:val="26"/>
            <w:u w:val="single"/>
            <w:lang w:eastAsia="es-UY"/>
            <w14:ligatures w14:val="none"/>
          </w:rPr>
          <w:t>Thomas Kuhn</w:t>
        </w:r>
      </w:hyperlink>
      <w:r w:rsidRPr="00F351DA">
        <w:rPr>
          <w:rFonts w:ascii="Arial" w:eastAsia="Times New Roman" w:hAnsi="Arial" w:cs="Arial"/>
          <w:color w:val="333333"/>
          <w:kern w:val="0"/>
          <w:sz w:val="26"/>
          <w:szCs w:val="26"/>
          <w:lang w:eastAsia="es-UY"/>
          <w14:ligatures w14:val="none"/>
        </w:rPr>
        <w:t> , filósofo de la ciencia, según la cual el conocimiento avanza a través de paradigmas que pueden ser discontinuos entre sí. Esta, en relación con </w:t>
      </w:r>
      <w:r w:rsidRPr="00F351DA">
        <w:rPr>
          <w:rFonts w:ascii="Arial" w:eastAsia="Times New Roman" w:hAnsi="Arial" w:cs="Arial"/>
          <w:b/>
          <w:bCs/>
          <w:color w:val="333333"/>
          <w:kern w:val="0"/>
          <w:sz w:val="26"/>
          <w:szCs w:val="26"/>
          <w:lang w:eastAsia="es-UY"/>
          <w14:ligatures w14:val="none"/>
        </w:rPr>
        <w:t>Nicea</w:t>
      </w:r>
      <w:r w:rsidRPr="00F351DA">
        <w:rPr>
          <w:rFonts w:ascii="Arial" w:eastAsia="Times New Roman" w:hAnsi="Arial" w:cs="Arial"/>
          <w:color w:val="333333"/>
          <w:kern w:val="0"/>
          <w:sz w:val="26"/>
          <w:szCs w:val="26"/>
          <w:lang w:eastAsia="es-UY"/>
          <w14:ligatures w14:val="none"/>
        </w:rPr>
        <w:t> , fue la tesis del célebre teólogo </w:t>
      </w:r>
      <w:hyperlink r:id="rId11" w:tgtFrame="_blank" w:history="1">
        <w:r w:rsidRPr="00F351DA">
          <w:rPr>
            <w:rFonts w:ascii="Arial" w:eastAsia="Times New Roman" w:hAnsi="Arial" w:cs="Arial"/>
            <w:color w:val="FC6B01"/>
            <w:kern w:val="0"/>
            <w:sz w:val="26"/>
            <w:szCs w:val="26"/>
            <w:u w:val="single"/>
            <w:lang w:eastAsia="es-UY"/>
            <w14:ligatures w14:val="none"/>
          </w:rPr>
          <w:t xml:space="preserve">Hans </w:t>
        </w:r>
        <w:proofErr w:type="spellStart"/>
        <w:r w:rsidRPr="00F351DA">
          <w:rPr>
            <w:rFonts w:ascii="Arial" w:eastAsia="Times New Roman" w:hAnsi="Arial" w:cs="Arial"/>
            <w:color w:val="FC6B01"/>
            <w:kern w:val="0"/>
            <w:sz w:val="26"/>
            <w:szCs w:val="26"/>
            <w:u w:val="single"/>
            <w:lang w:eastAsia="es-UY"/>
            <w14:ligatures w14:val="none"/>
          </w:rPr>
          <w:t>Küng</w:t>
        </w:r>
        <w:proofErr w:type="spellEnd"/>
      </w:hyperlink>
      <w:r w:rsidRPr="00F351DA">
        <w:rPr>
          <w:rFonts w:ascii="Arial" w:eastAsia="Times New Roman" w:hAnsi="Arial" w:cs="Arial"/>
          <w:color w:val="333333"/>
          <w:kern w:val="0"/>
          <w:sz w:val="26"/>
          <w:szCs w:val="26"/>
          <w:lang w:eastAsia="es-UY"/>
          <w14:ligatures w14:val="none"/>
        </w:rPr>
        <w:t> en su Cristianismo (BUR 1999): vio en ese concilio una inversión del sesgo helenístico en relación con la doctrina cristiana anterior de enfoque bíblico y judío. Por otro lado, nuestros autores recurren a </w:t>
      </w:r>
      <w:hyperlink r:id="rId12" w:tgtFrame="_blank" w:history="1">
        <w:r w:rsidRPr="00F351DA">
          <w:rPr>
            <w:rFonts w:ascii="Arial" w:eastAsia="Times New Roman" w:hAnsi="Arial" w:cs="Arial"/>
            <w:color w:val="FC6B01"/>
            <w:kern w:val="0"/>
            <w:sz w:val="26"/>
            <w:szCs w:val="26"/>
            <w:u w:val="single"/>
            <w:lang w:eastAsia="es-UY"/>
            <w14:ligatures w14:val="none"/>
          </w:rPr>
          <w:t>Karl Popper</w:t>
        </w:r>
      </w:hyperlink>
      <w:r w:rsidRPr="00F351DA">
        <w:rPr>
          <w:rFonts w:ascii="Arial" w:eastAsia="Times New Roman" w:hAnsi="Arial" w:cs="Arial"/>
          <w:color w:val="333333"/>
          <w:kern w:val="0"/>
          <w:sz w:val="26"/>
          <w:szCs w:val="26"/>
          <w:lang w:eastAsia="es-UY"/>
          <w14:ligatures w14:val="none"/>
        </w:rPr>
        <w:t> , quien considera el proceso de conocimiento como tendencialmente continuo, incluso a través de sucesivas conjeturas y refutaciones. </w:t>
      </w:r>
      <w:r w:rsidRPr="00F351DA">
        <w:rPr>
          <w:rFonts w:ascii="Arial" w:eastAsia="Times New Roman" w:hAnsi="Arial" w:cs="Arial"/>
          <w:b/>
          <w:bCs/>
          <w:color w:val="333333"/>
          <w:kern w:val="0"/>
          <w:sz w:val="26"/>
          <w:szCs w:val="26"/>
          <w:lang w:eastAsia="es-UY"/>
          <w14:ligatures w14:val="none"/>
        </w:rPr>
        <w:t>Vian</w:t>
      </w:r>
      <w:r w:rsidRPr="00F351DA">
        <w:rPr>
          <w:rFonts w:ascii="Arial" w:eastAsia="Times New Roman" w:hAnsi="Arial" w:cs="Arial"/>
          <w:color w:val="333333"/>
          <w:kern w:val="0"/>
          <w:sz w:val="26"/>
          <w:szCs w:val="26"/>
          <w:lang w:eastAsia="es-UY"/>
          <w14:ligatures w14:val="none"/>
        </w:rPr>
        <w:t> y </w:t>
      </w:r>
      <w:proofErr w:type="spellStart"/>
      <w:r w:rsidRPr="00F351DA">
        <w:rPr>
          <w:rFonts w:ascii="Arial" w:eastAsia="Times New Roman" w:hAnsi="Arial" w:cs="Arial"/>
          <w:b/>
          <w:bCs/>
          <w:color w:val="333333"/>
          <w:kern w:val="0"/>
          <w:sz w:val="26"/>
          <w:szCs w:val="26"/>
          <w:lang w:eastAsia="es-UY"/>
          <w14:ligatures w14:val="none"/>
        </w:rPr>
        <w:t>Vecchi</w:t>
      </w:r>
      <w:proofErr w:type="spellEnd"/>
      <w:r w:rsidRPr="00F351DA">
        <w:rPr>
          <w:rFonts w:ascii="Arial" w:eastAsia="Times New Roman" w:hAnsi="Arial" w:cs="Arial"/>
          <w:color w:val="333333"/>
          <w:kern w:val="0"/>
          <w:sz w:val="26"/>
          <w:szCs w:val="26"/>
          <w:lang w:eastAsia="es-UY"/>
          <w14:ligatures w14:val="none"/>
        </w:rPr>
        <w:t> optan precisamente por esta segunda interpretación de la doctrina de </w:t>
      </w:r>
      <w:r w:rsidRPr="00F351DA">
        <w:rPr>
          <w:rFonts w:ascii="Arial" w:eastAsia="Times New Roman" w:hAnsi="Arial" w:cs="Arial"/>
          <w:b/>
          <w:bCs/>
          <w:color w:val="333333"/>
          <w:kern w:val="0"/>
          <w:sz w:val="26"/>
          <w:szCs w:val="26"/>
          <w:lang w:eastAsia="es-UY"/>
          <w14:ligatures w14:val="none"/>
        </w:rPr>
        <w:t>Nicea</w:t>
      </w:r>
      <w:r w:rsidRPr="00F351DA">
        <w:rPr>
          <w:rFonts w:ascii="Arial" w:eastAsia="Times New Roman" w:hAnsi="Arial" w:cs="Arial"/>
          <w:color w:val="333333"/>
          <w:kern w:val="0"/>
          <w:sz w:val="26"/>
          <w:szCs w:val="26"/>
          <w:lang w:eastAsia="es-UY"/>
          <w14:ligatures w14:val="none"/>
        </w:rPr>
        <w:t> , en la línea evolutiva de la doctrina tradicional. Además, recordamos que estos dos puntos de vista opuestos también se adoptaron para juzgar el legado del </w:t>
      </w:r>
      <w:hyperlink r:id="rId13" w:tgtFrame="_blank" w:history="1">
        <w:r w:rsidRPr="00F351DA">
          <w:rPr>
            <w:rFonts w:ascii="Arial" w:eastAsia="Times New Roman" w:hAnsi="Arial" w:cs="Arial"/>
            <w:color w:val="FC6B01"/>
            <w:kern w:val="0"/>
            <w:sz w:val="26"/>
            <w:szCs w:val="26"/>
            <w:u w:val="single"/>
            <w:lang w:eastAsia="es-UY"/>
            <w14:ligatures w14:val="none"/>
          </w:rPr>
          <w:t>Concilio Vaticano II</w:t>
        </w:r>
      </w:hyperlink>
      <w:r w:rsidRPr="00F351DA">
        <w:rPr>
          <w:rFonts w:ascii="Arial" w:eastAsia="Times New Roman" w:hAnsi="Arial" w:cs="Arial"/>
          <w:color w:val="333333"/>
          <w:kern w:val="0"/>
          <w:sz w:val="26"/>
          <w:szCs w:val="26"/>
          <w:lang w:eastAsia="es-UY"/>
          <w14:ligatures w14:val="none"/>
        </w:rPr>
        <w:t> ; por lo tanto, será interesante seguir también el capítulo “Nicea después de Nicea”.</w:t>
      </w:r>
    </w:p>
    <w:p w14:paraId="382502A1"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p>
    <w:p w14:paraId="1657EAA6" w14:textId="77777777" w:rsidR="00F351DA" w:rsidRPr="00F351DA" w:rsidRDefault="00F351DA" w:rsidP="00F351DA">
      <w:pPr>
        <w:spacing w:after="0" w:line="240" w:lineRule="auto"/>
        <w:jc w:val="both"/>
        <w:rPr>
          <w:rFonts w:ascii="Arial" w:eastAsia="Times New Roman" w:hAnsi="Arial" w:cs="Arial"/>
          <w:color w:val="333333"/>
          <w:kern w:val="0"/>
          <w:sz w:val="26"/>
          <w:szCs w:val="26"/>
          <w:lang w:eastAsia="es-UY"/>
          <w14:ligatures w14:val="none"/>
        </w:rPr>
      </w:pPr>
      <w:r w:rsidRPr="00F351DA">
        <w:rPr>
          <w:rFonts w:ascii="Arial" w:eastAsia="Times New Roman" w:hAnsi="Arial" w:cs="Arial"/>
          <w:color w:val="333333"/>
          <w:kern w:val="0"/>
          <w:sz w:val="26"/>
          <w:szCs w:val="26"/>
          <w:lang w:eastAsia="es-UY"/>
          <w14:ligatures w14:val="none"/>
        </w:rPr>
        <w:t>En este punto, sin embargo, debemos, en síntesis extrema (y resumida), presentar la tesis de </w:t>
      </w:r>
      <w:r w:rsidRPr="00F351DA">
        <w:rPr>
          <w:rFonts w:ascii="Arial" w:eastAsia="Times New Roman" w:hAnsi="Arial" w:cs="Arial"/>
          <w:b/>
          <w:bCs/>
          <w:color w:val="333333"/>
          <w:kern w:val="0"/>
          <w:sz w:val="26"/>
          <w:szCs w:val="26"/>
          <w:lang w:eastAsia="es-UY"/>
          <w14:ligatures w14:val="none"/>
        </w:rPr>
        <w:t>Arrio</w:t>
      </w:r>
      <w:r w:rsidRPr="00F351DA">
        <w:rPr>
          <w:rFonts w:ascii="Arial" w:eastAsia="Times New Roman" w:hAnsi="Arial" w:cs="Arial"/>
          <w:color w:val="333333"/>
          <w:kern w:val="0"/>
          <w:sz w:val="26"/>
          <w:szCs w:val="26"/>
          <w:lang w:eastAsia="es-UY"/>
          <w14:ligatures w14:val="none"/>
        </w:rPr>
        <w:t> , objeto de la disputa. Para salvaguardar la unicidad y trascendencia de Dios, excluyó a Cristo de la divinidad, relegándolo a criatura, si bien con un estatus exclusivo y primacía. Muy diferente será la ortodoxia cristológica nicena que, como profesa el Credo en su formulación más amplia, reconoce a «Jesucristo, el Hijo unigénito de Dios, nacido del Padre antes de todos los siglos, Dios de Dios, luz de luz, Dios verdadero de Dios verdadero, engendrado, no creado, de la misma sustancia que el Padre». Esta es la norma que aún hoy, después de 1700 años, regula la fe del cristianismo.</w:t>
      </w:r>
    </w:p>
    <w:p w14:paraId="19714D3A" w14:textId="77777777" w:rsidR="00926044" w:rsidRDefault="00926044"/>
    <w:p w14:paraId="59A89223" w14:textId="79B58337" w:rsidR="00F351DA" w:rsidRDefault="00F351DA">
      <w:hyperlink r:id="rId14" w:history="1">
        <w:r w:rsidRPr="001D0F65">
          <w:rPr>
            <w:rStyle w:val="Hipervnculo"/>
          </w:rPr>
          <w:t>https://www.ihu.unisinos.br/653246-como-niceia-mudou-o-curso-da-historia-artigo-de-gianfranco-ravasi?utm_campaign=newsletter_ihu__12-06-2025&amp;utm_medium=email&amp;utm_source=RD+Station</w:t>
        </w:r>
      </w:hyperlink>
    </w:p>
    <w:p w14:paraId="64B0E196" w14:textId="77777777" w:rsidR="00F351DA" w:rsidRDefault="00F351DA"/>
    <w:sectPr w:rsidR="00F351D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DA"/>
    <w:rsid w:val="00926044"/>
    <w:rsid w:val="00D769F2"/>
    <w:rsid w:val="00DE17AC"/>
    <w:rsid w:val="00F351D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DCE19"/>
  <w15:chartTrackingRefBased/>
  <w15:docId w15:val="{EFAEE97C-4252-457F-8A8D-8844A06A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51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351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351D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351D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351D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351D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51D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51D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51D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51D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51D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51D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351D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51D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51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51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51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51DA"/>
    <w:rPr>
      <w:rFonts w:eastAsiaTheme="majorEastAsia" w:cstheme="majorBidi"/>
      <w:color w:val="272727" w:themeColor="text1" w:themeTint="D8"/>
    </w:rPr>
  </w:style>
  <w:style w:type="paragraph" w:styleId="Ttulo">
    <w:name w:val="Title"/>
    <w:basedOn w:val="Normal"/>
    <w:next w:val="Normal"/>
    <w:link w:val="TtuloCar"/>
    <w:uiPriority w:val="10"/>
    <w:qFormat/>
    <w:rsid w:val="00F351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351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351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351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51DA"/>
    <w:pPr>
      <w:spacing w:before="160"/>
      <w:jc w:val="center"/>
    </w:pPr>
    <w:rPr>
      <w:i/>
      <w:iCs/>
      <w:color w:val="404040" w:themeColor="text1" w:themeTint="BF"/>
    </w:rPr>
  </w:style>
  <w:style w:type="character" w:customStyle="1" w:styleId="CitaCar">
    <w:name w:val="Cita Car"/>
    <w:basedOn w:val="Fuentedeprrafopredeter"/>
    <w:link w:val="Cita"/>
    <w:uiPriority w:val="29"/>
    <w:rsid w:val="00F351DA"/>
    <w:rPr>
      <w:i/>
      <w:iCs/>
      <w:color w:val="404040" w:themeColor="text1" w:themeTint="BF"/>
    </w:rPr>
  </w:style>
  <w:style w:type="paragraph" w:styleId="Prrafodelista">
    <w:name w:val="List Paragraph"/>
    <w:basedOn w:val="Normal"/>
    <w:uiPriority w:val="34"/>
    <w:qFormat/>
    <w:rsid w:val="00F351DA"/>
    <w:pPr>
      <w:ind w:left="720"/>
      <w:contextualSpacing/>
    </w:pPr>
  </w:style>
  <w:style w:type="character" w:styleId="nfasisintenso">
    <w:name w:val="Intense Emphasis"/>
    <w:basedOn w:val="Fuentedeprrafopredeter"/>
    <w:uiPriority w:val="21"/>
    <w:qFormat/>
    <w:rsid w:val="00F351DA"/>
    <w:rPr>
      <w:i/>
      <w:iCs/>
      <w:color w:val="0F4761" w:themeColor="accent1" w:themeShade="BF"/>
    </w:rPr>
  </w:style>
  <w:style w:type="paragraph" w:styleId="Citadestacada">
    <w:name w:val="Intense Quote"/>
    <w:basedOn w:val="Normal"/>
    <w:next w:val="Normal"/>
    <w:link w:val="CitadestacadaCar"/>
    <w:uiPriority w:val="30"/>
    <w:qFormat/>
    <w:rsid w:val="00F351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51DA"/>
    <w:rPr>
      <w:i/>
      <w:iCs/>
      <w:color w:val="0F4761" w:themeColor="accent1" w:themeShade="BF"/>
    </w:rPr>
  </w:style>
  <w:style w:type="character" w:styleId="Referenciaintensa">
    <w:name w:val="Intense Reference"/>
    <w:basedOn w:val="Fuentedeprrafopredeter"/>
    <w:uiPriority w:val="32"/>
    <w:qFormat/>
    <w:rsid w:val="00F351DA"/>
    <w:rPr>
      <w:b/>
      <w:bCs/>
      <w:smallCaps/>
      <w:color w:val="0F4761" w:themeColor="accent1" w:themeShade="BF"/>
      <w:spacing w:val="5"/>
    </w:rPr>
  </w:style>
  <w:style w:type="character" w:styleId="Hipervnculo">
    <w:name w:val="Hyperlink"/>
    <w:basedOn w:val="Fuentedeprrafopredeter"/>
    <w:uiPriority w:val="99"/>
    <w:unhideWhenUsed/>
    <w:rsid w:val="00F351DA"/>
    <w:rPr>
      <w:color w:val="467886" w:themeColor="hyperlink"/>
      <w:u w:val="single"/>
    </w:rPr>
  </w:style>
  <w:style w:type="character" w:styleId="Mencinsinresolver">
    <w:name w:val="Unresolved Mention"/>
    <w:basedOn w:val="Fuentedeprrafopredeter"/>
    <w:uiPriority w:val="99"/>
    <w:semiHidden/>
    <w:unhideWhenUsed/>
    <w:rsid w:val="00F35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8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52607-voce-nao-e-um-robo-um-lembrete-oportuno-do-concilio-de-niceia-artigo-de-scott-hurd" TargetMode="External"/><Relationship Id="rId13" Type="http://schemas.openxmlformats.org/officeDocument/2006/relationships/hyperlink" Target="https://ihu.unisinos.br/categorias/622940-60-anos-apos-o-inicio-do-vaticano-ii-um-concilio-frustrado"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ihu.unisinos.br/650123-catolicismo-cordial-artigo-de-eberval-gadelha-figueiredo-jr"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hu.unisinos.br/categorias/652464-o-legado-de-niceia-artigo-de-aldo-badini" TargetMode="External"/><Relationship Id="rId11" Type="http://schemas.openxmlformats.org/officeDocument/2006/relationships/hyperlink" Target="https://www.ihu.unisinos.br/categorias/608130-morreu-hans-kueng-celebre-e-polemico-teologo-suico" TargetMode="External"/><Relationship Id="rId5" Type="http://schemas.openxmlformats.org/officeDocument/2006/relationships/hyperlink" Target="https://ihu.unisinos.br/categorias/633978-a-boa-vida-artigo-de-gianfranco-ravasi" TargetMode="External"/><Relationship Id="rId15" Type="http://schemas.openxmlformats.org/officeDocument/2006/relationships/fontTable" Target="fontTable.xml"/><Relationship Id="rId10" Type="http://schemas.openxmlformats.org/officeDocument/2006/relationships/hyperlink" Target="https://www.ihu.unisinos.br/categorias/650556-sexonaoegenero-disputas-feministas-em-torno-do-sexo-e-da-biologia" TargetMode="External"/><Relationship Id="rId4" Type="http://schemas.openxmlformats.org/officeDocument/2006/relationships/image" Target="media/image1.png"/><Relationship Id="rId9" Type="http://schemas.openxmlformats.org/officeDocument/2006/relationships/hyperlink" Target="https://www.ihu.unisinos.br/categorias/650498-por-tras-das-portas-do-conclave-artigo-de-gian-guido-vecchi" TargetMode="External"/><Relationship Id="rId14" Type="http://schemas.openxmlformats.org/officeDocument/2006/relationships/hyperlink" Target="https://www.ihu.unisinos.br/653246-como-niceia-mudou-o-curso-da-historia-artigo-de-gianfranco-ravasi?utm_campaign=newsletter_ihu__12-06-2025&amp;utm_medium=email&amp;utm_source=RD+S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1253</Words>
  <Characters>6897</Characters>
  <Application>Microsoft Office Word</Application>
  <DocSecurity>0</DocSecurity>
  <Lines>57</Lines>
  <Paragraphs>16</Paragraphs>
  <ScaleCrop>false</ScaleCrop>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2025-06-12T15:03:00Z</dcterms:created>
  <dcterms:modified xsi:type="dcterms:W3CDTF">2025-06-12T15:04:00Z</dcterms:modified>
</cp:coreProperties>
</file>