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8CD8C" w14:textId="0EDC40BF" w:rsid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noProof/>
          <w:color w:val="666666"/>
          <w:kern w:val="0"/>
          <w:sz w:val="27"/>
          <w:szCs w:val="27"/>
          <w:lang w:eastAsia="es-UY"/>
          <w14:ligatures w14:val="none"/>
        </w:rPr>
        <w:drawing>
          <wp:inline distT="0" distB="0" distL="0" distR="0" wp14:anchorId="32AC9C74" wp14:editId="49320399">
            <wp:extent cx="5400040" cy="2527300"/>
            <wp:effectExtent l="0" t="0" r="0" b="6350"/>
            <wp:docPr id="896995906" name="Imagen 1" descr="Una imagen de una ciuda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95906" name="Imagen 1" descr="Una imagen de una ciudad&#10;&#10;El contenido generado por IA puede ser incorrecto."/>
                    <pic:cNvPicPr/>
                  </pic:nvPicPr>
                  <pic:blipFill>
                    <a:blip r:embed="rId4"/>
                    <a:stretch>
                      <a:fillRect/>
                    </a:stretch>
                  </pic:blipFill>
                  <pic:spPr>
                    <a:xfrm>
                      <a:off x="0" y="0"/>
                      <a:ext cx="5400040" cy="2527300"/>
                    </a:xfrm>
                    <a:prstGeom prst="rect">
                      <a:avLst/>
                    </a:prstGeom>
                  </pic:spPr>
                </pic:pic>
              </a:graphicData>
            </a:graphic>
          </wp:inline>
        </w:drawing>
      </w:r>
    </w:p>
    <w:p w14:paraId="52CC5C4B" w14:textId="77777777" w:rsid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p>
    <w:p w14:paraId="6BA6B4D3" w14:textId="0B122970"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A pocos meses de </w:t>
      </w:r>
      <w:hyperlink r:id="rId5" w:tgtFrame="_blank" w:history="1">
        <w:r w:rsidRPr="005C632F">
          <w:rPr>
            <w:rFonts w:ascii="Arial" w:eastAsia="Times New Roman" w:hAnsi="Arial" w:cs="Arial"/>
            <w:color w:val="FC6B01"/>
            <w:kern w:val="0"/>
            <w:sz w:val="27"/>
            <w:szCs w:val="27"/>
            <w:u w:val="single"/>
            <w:lang w:eastAsia="es-UY"/>
            <w14:ligatures w14:val="none"/>
          </w:rPr>
          <w:t>la COP30</w:t>
        </w:r>
      </w:hyperlink>
      <w:r w:rsidRPr="005C632F">
        <w:rPr>
          <w:rFonts w:ascii="Arial" w:eastAsia="Times New Roman" w:hAnsi="Arial" w:cs="Arial"/>
          <w:color w:val="666666"/>
          <w:kern w:val="0"/>
          <w:sz w:val="27"/>
          <w:szCs w:val="27"/>
          <w:lang w:eastAsia="es-UY"/>
          <w14:ligatures w14:val="none"/>
        </w:rPr>
        <w:t> , </w:t>
      </w:r>
      <w:r w:rsidRPr="005C632F">
        <w:rPr>
          <w:rFonts w:ascii="Arial" w:eastAsia="Times New Roman" w:hAnsi="Arial" w:cs="Arial"/>
          <w:b/>
          <w:bCs/>
          <w:color w:val="666666"/>
          <w:kern w:val="0"/>
          <w:sz w:val="27"/>
          <w:szCs w:val="27"/>
          <w:lang w:eastAsia="es-UY"/>
          <w14:ligatures w14:val="none"/>
        </w:rPr>
        <w:t>Belém</w:t>
      </w:r>
      <w:r w:rsidRPr="005C632F">
        <w:rPr>
          <w:rFonts w:ascii="Arial" w:eastAsia="Times New Roman" w:hAnsi="Arial" w:cs="Arial"/>
          <w:color w:val="666666"/>
          <w:kern w:val="0"/>
          <w:sz w:val="27"/>
          <w:szCs w:val="27"/>
          <w:lang w:eastAsia="es-UY"/>
          <w14:ligatures w14:val="none"/>
        </w:rPr>
        <w:t> atraviesa un intenso proceso de reformas e intervenciones urbanas bajo la promesa de modernización y liderazgo climático. La capital de Pará será el centro de atención mundial en 2025, reuniendo a jefes de estado, organizaciones internacionales y líderes de la sociedad civil. Sin embargo, tras las obras y el discurso ambiental, una ciudad desigual sigue albergando problemas estructurales que amenazan con ser simplemente encubiertos y no resueltos.</w:t>
      </w:r>
    </w:p>
    <w:p w14:paraId="7573F72A"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Con una de las peores tasas de cobertura de </w:t>
      </w:r>
      <w:r w:rsidRPr="005C632F">
        <w:rPr>
          <w:rFonts w:ascii="Arial" w:eastAsia="Times New Roman" w:hAnsi="Arial" w:cs="Arial"/>
          <w:b/>
          <w:bCs/>
          <w:color w:val="666666"/>
          <w:kern w:val="0"/>
          <w:sz w:val="27"/>
          <w:szCs w:val="27"/>
          <w:lang w:eastAsia="es-UY"/>
          <w14:ligatures w14:val="none"/>
        </w:rPr>
        <w:t>saneamiento</w:t>
      </w:r>
      <w:r w:rsidRPr="005C632F">
        <w:rPr>
          <w:rFonts w:ascii="Arial" w:eastAsia="Times New Roman" w:hAnsi="Arial" w:cs="Arial"/>
          <w:color w:val="666666"/>
          <w:kern w:val="0"/>
          <w:sz w:val="27"/>
          <w:szCs w:val="27"/>
          <w:lang w:eastAsia="es-UY"/>
          <w14:ligatures w14:val="none"/>
        </w:rPr>
        <w:t> , </w:t>
      </w:r>
      <w:hyperlink r:id="rId6" w:tgtFrame="_blank" w:history="1">
        <w:r w:rsidRPr="005C632F">
          <w:rPr>
            <w:rFonts w:ascii="Arial" w:eastAsia="Times New Roman" w:hAnsi="Arial" w:cs="Arial"/>
            <w:color w:val="FC6B01"/>
            <w:kern w:val="0"/>
            <w:sz w:val="27"/>
            <w:szCs w:val="27"/>
            <w:u w:val="single"/>
            <w:lang w:eastAsia="es-UY"/>
            <w14:ligatures w14:val="none"/>
          </w:rPr>
          <w:t>Belém</w:t>
        </w:r>
      </w:hyperlink>
      <w:r w:rsidRPr="005C632F">
        <w:rPr>
          <w:rFonts w:ascii="Arial" w:eastAsia="Times New Roman" w:hAnsi="Arial" w:cs="Arial"/>
          <w:color w:val="666666"/>
          <w:kern w:val="0"/>
          <w:sz w:val="27"/>
          <w:szCs w:val="27"/>
          <w:lang w:eastAsia="es-UY"/>
          <w14:ligatures w14:val="none"/>
        </w:rPr>
        <w:t> se encuentra entre las diez ciudades con peores índices de saneamiento de Brasil, según el </w:t>
      </w:r>
      <w:r w:rsidRPr="005C632F">
        <w:rPr>
          <w:rFonts w:ascii="Arial" w:eastAsia="Times New Roman" w:hAnsi="Arial" w:cs="Arial"/>
          <w:b/>
          <w:bCs/>
          <w:color w:val="666666"/>
          <w:kern w:val="0"/>
          <w:sz w:val="27"/>
          <w:szCs w:val="27"/>
          <w:lang w:eastAsia="es-UY"/>
          <w14:ligatures w14:val="none"/>
        </w:rPr>
        <w:t>Ranking de Saneamiento 2024.</w:t>
      </w:r>
      <w:r w:rsidRPr="005C632F">
        <w:rPr>
          <w:rFonts w:ascii="Arial" w:eastAsia="Times New Roman" w:hAnsi="Arial" w:cs="Arial"/>
          <w:color w:val="666666"/>
          <w:kern w:val="0"/>
          <w:sz w:val="27"/>
          <w:szCs w:val="27"/>
          <w:lang w:eastAsia="es-UY"/>
          <w14:ligatures w14:val="none"/>
        </w:rPr>
        <w:t> La capital de Pará aún enfrenta problemas de aguas residuales a cielo abierto en barrios poblados y la falta de infraestructura en más de la mitad de su región metropolitana. Aun así, las inversiones de aproximadamente R$7 mil millones planificadas para la COP se concentran en acciones específicas para embellecer zonas céntricas y proyectos orientados al turismo y la circulación de autoridades.</w:t>
      </w:r>
    </w:p>
    <w:p w14:paraId="7CDDF17A"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La promesa de un </w:t>
      </w:r>
      <w:r w:rsidRPr="005C632F">
        <w:rPr>
          <w:rFonts w:ascii="Arial" w:eastAsia="Times New Roman" w:hAnsi="Arial" w:cs="Arial"/>
          <w:b/>
          <w:bCs/>
          <w:color w:val="666666"/>
          <w:kern w:val="0"/>
          <w:sz w:val="27"/>
          <w:szCs w:val="27"/>
          <w:lang w:eastAsia="es-UY"/>
          <w14:ligatures w14:val="none"/>
        </w:rPr>
        <w:t>legado sostenible</w:t>
      </w:r>
      <w:r w:rsidRPr="005C632F">
        <w:rPr>
          <w:rFonts w:ascii="Arial" w:eastAsia="Times New Roman" w:hAnsi="Arial" w:cs="Arial"/>
          <w:color w:val="666666"/>
          <w:kern w:val="0"/>
          <w:sz w:val="27"/>
          <w:szCs w:val="27"/>
          <w:lang w:eastAsia="es-UY"/>
          <w14:ligatures w14:val="none"/>
        </w:rPr>
        <w:t> comienza a cuestionarse al observar la ubicación y el perfil de los proyectos en marcha: grandes avenidas reurbanizadas, mercados renovados para potenciar su potencial turístico y edificios que buscan impresionar a los visitantes. Mientras tanto, los programas de </w:t>
      </w:r>
      <w:r w:rsidRPr="005C632F">
        <w:rPr>
          <w:rFonts w:ascii="Arial" w:eastAsia="Times New Roman" w:hAnsi="Arial" w:cs="Arial"/>
          <w:b/>
          <w:bCs/>
          <w:color w:val="666666"/>
          <w:kern w:val="0"/>
          <w:sz w:val="27"/>
          <w:szCs w:val="27"/>
          <w:lang w:eastAsia="es-UY"/>
          <w14:ligatures w14:val="none"/>
        </w:rPr>
        <w:t>urbanización de barrios marginales</w:t>
      </w:r>
      <w:r w:rsidRPr="005C632F">
        <w:rPr>
          <w:rFonts w:ascii="Arial" w:eastAsia="Times New Roman" w:hAnsi="Arial" w:cs="Arial"/>
          <w:color w:val="666666"/>
          <w:kern w:val="0"/>
          <w:sz w:val="27"/>
          <w:szCs w:val="27"/>
          <w:lang w:eastAsia="es-UY"/>
          <w14:ligatures w14:val="none"/>
        </w:rPr>
        <w:t> , regularización de la tenencia de la tierra, acceso a vivienda digna y saneamiento permanecen al margen de la planificación.</w:t>
      </w:r>
    </w:p>
    <w:p w14:paraId="6985D2D3"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En barrios céntricos, como los que rodean </w:t>
      </w:r>
      <w:r w:rsidRPr="005C632F">
        <w:rPr>
          <w:rFonts w:ascii="Arial" w:eastAsia="Times New Roman" w:hAnsi="Arial" w:cs="Arial"/>
          <w:b/>
          <w:bCs/>
          <w:color w:val="666666"/>
          <w:kern w:val="0"/>
          <w:sz w:val="27"/>
          <w:szCs w:val="27"/>
          <w:lang w:eastAsia="es-UY"/>
          <w14:ligatures w14:val="none"/>
        </w:rPr>
        <w:t>Ver-O-Peso</w:t>
      </w:r>
      <w:r w:rsidRPr="005C632F">
        <w:rPr>
          <w:rFonts w:ascii="Arial" w:eastAsia="Times New Roman" w:hAnsi="Arial" w:cs="Arial"/>
          <w:color w:val="666666"/>
          <w:kern w:val="0"/>
          <w:sz w:val="27"/>
          <w:szCs w:val="27"/>
          <w:lang w:eastAsia="es-UY"/>
          <w14:ligatures w14:val="none"/>
        </w:rPr>
        <w:t> y </w:t>
      </w:r>
      <w:r w:rsidRPr="005C632F">
        <w:rPr>
          <w:rFonts w:ascii="Arial" w:eastAsia="Times New Roman" w:hAnsi="Arial" w:cs="Arial"/>
          <w:b/>
          <w:bCs/>
          <w:color w:val="666666"/>
          <w:kern w:val="0"/>
          <w:sz w:val="27"/>
          <w:szCs w:val="27"/>
          <w:lang w:eastAsia="es-UY"/>
          <w14:ligatures w14:val="none"/>
        </w:rPr>
        <w:t>el Mercado de São Brás</w:t>
      </w:r>
      <w:r w:rsidRPr="005C632F">
        <w:rPr>
          <w:rFonts w:ascii="Arial" w:eastAsia="Times New Roman" w:hAnsi="Arial" w:cs="Arial"/>
          <w:color w:val="666666"/>
          <w:kern w:val="0"/>
          <w:sz w:val="27"/>
          <w:szCs w:val="27"/>
          <w:lang w:eastAsia="es-UY"/>
          <w14:ligatures w14:val="none"/>
        </w:rPr>
        <w:t> , observamos la preparación de una </w:t>
      </w:r>
      <w:r w:rsidRPr="005C632F">
        <w:rPr>
          <w:rFonts w:ascii="Arial" w:eastAsia="Times New Roman" w:hAnsi="Arial" w:cs="Arial"/>
          <w:b/>
          <w:bCs/>
          <w:color w:val="666666"/>
          <w:kern w:val="0"/>
          <w:sz w:val="27"/>
          <w:szCs w:val="27"/>
          <w:lang w:eastAsia="es-UY"/>
          <w14:ligatures w14:val="none"/>
        </w:rPr>
        <w:t>ciudad modelo</w:t>
      </w:r>
      <w:r w:rsidRPr="005C632F">
        <w:rPr>
          <w:rFonts w:ascii="Arial" w:eastAsia="Times New Roman" w:hAnsi="Arial" w:cs="Arial"/>
          <w:color w:val="666666"/>
          <w:kern w:val="0"/>
          <w:sz w:val="27"/>
          <w:szCs w:val="27"/>
          <w:lang w:eastAsia="es-UY"/>
          <w14:ligatures w14:val="none"/>
        </w:rPr>
        <w:t> : bien iluminada, vigilada, limpia y segura, pero solo en zonas específicas. Las regiones más pobres siguen enfrentándose a la precariedad habitual. El riesgo de </w:t>
      </w:r>
      <w:hyperlink r:id="rId7" w:tgtFrame="_blank" w:history="1">
        <w:r w:rsidRPr="005C632F">
          <w:rPr>
            <w:rFonts w:ascii="Arial" w:eastAsia="Times New Roman" w:hAnsi="Arial" w:cs="Arial"/>
            <w:color w:val="FC6B01"/>
            <w:kern w:val="0"/>
            <w:sz w:val="27"/>
            <w:szCs w:val="27"/>
            <w:u w:val="single"/>
            <w:lang w:eastAsia="es-UY"/>
            <w14:ligatures w14:val="none"/>
          </w:rPr>
          <w:t>gentrificación</w:t>
        </w:r>
      </w:hyperlink>
      <w:r w:rsidRPr="005C632F">
        <w:rPr>
          <w:rFonts w:ascii="Arial" w:eastAsia="Times New Roman" w:hAnsi="Arial" w:cs="Arial"/>
          <w:color w:val="666666"/>
          <w:kern w:val="0"/>
          <w:sz w:val="27"/>
          <w:szCs w:val="27"/>
          <w:lang w:eastAsia="es-UY"/>
          <w14:ligatures w14:val="none"/>
        </w:rPr>
        <w:t xml:space="preserve"> avanza y el aumento de los alquileres y las </w:t>
      </w:r>
      <w:r w:rsidRPr="005C632F">
        <w:rPr>
          <w:rFonts w:ascii="Arial" w:eastAsia="Times New Roman" w:hAnsi="Arial" w:cs="Arial"/>
          <w:color w:val="666666"/>
          <w:kern w:val="0"/>
          <w:sz w:val="27"/>
          <w:szCs w:val="27"/>
          <w:lang w:eastAsia="es-UY"/>
          <w14:ligatures w14:val="none"/>
        </w:rPr>
        <w:lastRenderedPageBreak/>
        <w:t>expulsiones indirectas están silenciando a las comunidades que históricamente han estado presentes en el centro urbano.</w:t>
      </w:r>
    </w:p>
    <w:p w14:paraId="4DF5CC15"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El impacto no es solo social. Los proyectos de construcción vial que conectan la carretera </w:t>
      </w:r>
      <w:r w:rsidRPr="005C632F">
        <w:rPr>
          <w:rFonts w:ascii="Arial" w:eastAsia="Times New Roman" w:hAnsi="Arial" w:cs="Arial"/>
          <w:b/>
          <w:bCs/>
          <w:color w:val="666666"/>
          <w:kern w:val="0"/>
          <w:sz w:val="27"/>
          <w:szCs w:val="27"/>
          <w:lang w:eastAsia="es-UY"/>
          <w14:ligatures w14:val="none"/>
        </w:rPr>
        <w:t>BR-316</w:t>
      </w:r>
      <w:r w:rsidRPr="005C632F">
        <w:rPr>
          <w:rFonts w:ascii="Arial" w:eastAsia="Times New Roman" w:hAnsi="Arial" w:cs="Arial"/>
          <w:color w:val="666666"/>
          <w:kern w:val="0"/>
          <w:sz w:val="27"/>
          <w:szCs w:val="27"/>
          <w:lang w:eastAsia="es-UY"/>
          <w14:ligatures w14:val="none"/>
        </w:rPr>
        <w:t> y las intervenciones en zonas sensibles como </w:t>
      </w:r>
      <w:r w:rsidRPr="005C632F">
        <w:rPr>
          <w:rFonts w:ascii="Arial" w:eastAsia="Times New Roman" w:hAnsi="Arial" w:cs="Arial"/>
          <w:b/>
          <w:bCs/>
          <w:color w:val="666666"/>
          <w:kern w:val="0"/>
          <w:sz w:val="27"/>
          <w:szCs w:val="27"/>
          <w:lang w:eastAsia="es-UY"/>
          <w14:ligatures w14:val="none"/>
        </w:rPr>
        <w:t>el Parque Utinga</w:t>
      </w:r>
      <w:r w:rsidRPr="005C632F">
        <w:rPr>
          <w:rFonts w:ascii="Arial" w:eastAsia="Times New Roman" w:hAnsi="Arial" w:cs="Arial"/>
          <w:color w:val="666666"/>
          <w:kern w:val="0"/>
          <w:sz w:val="27"/>
          <w:szCs w:val="27"/>
          <w:lang w:eastAsia="es-UY"/>
          <w14:ligatures w14:val="none"/>
        </w:rPr>
        <w:t> ya están causando deforestación, contaminación, pérdida de biodiversidad y presión sobre las poblaciones tradicionales. La vegetación urbana en la región metropolitana continúa desapareciendo a un ritmo acelerado, sin una planificación ambiental estructurada. Ya se han observado efectos similares en otros eventos importantes, como el </w:t>
      </w:r>
      <w:hyperlink r:id="rId8" w:tgtFrame="_blank" w:history="1">
        <w:r w:rsidRPr="005C632F">
          <w:rPr>
            <w:rFonts w:ascii="Arial" w:eastAsia="Times New Roman" w:hAnsi="Arial" w:cs="Arial"/>
            <w:color w:val="FC6B01"/>
            <w:kern w:val="0"/>
            <w:sz w:val="27"/>
            <w:szCs w:val="27"/>
            <w:u w:val="single"/>
            <w:lang w:eastAsia="es-UY"/>
            <w14:ligatures w14:val="none"/>
          </w:rPr>
          <w:t>Foro Social Mundial (FSM</w:t>
        </w:r>
      </w:hyperlink>
      <w:r w:rsidRPr="005C632F">
        <w:rPr>
          <w:rFonts w:ascii="Arial" w:eastAsia="Times New Roman" w:hAnsi="Arial" w:cs="Arial"/>
          <w:color w:val="666666"/>
          <w:kern w:val="0"/>
          <w:sz w:val="27"/>
          <w:szCs w:val="27"/>
          <w:lang w:eastAsia="es-UY"/>
          <w14:ligatures w14:val="none"/>
        </w:rPr>
        <w:t> ), celebrado en la ciudad en 2009.</w:t>
      </w:r>
    </w:p>
    <w:p w14:paraId="69A31CE4"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La COP30 se anuncia </w:t>
      </w:r>
      <w:r w:rsidRPr="005C632F">
        <w:rPr>
          <w:rFonts w:ascii="Arial" w:eastAsia="Times New Roman" w:hAnsi="Arial" w:cs="Arial"/>
          <w:b/>
          <w:bCs/>
          <w:color w:val="666666"/>
          <w:kern w:val="0"/>
          <w:sz w:val="27"/>
          <w:szCs w:val="27"/>
          <w:lang w:eastAsia="es-UY"/>
          <w14:ligatures w14:val="none"/>
        </w:rPr>
        <w:t>como</w:t>
      </w:r>
      <w:r w:rsidRPr="005C632F">
        <w:rPr>
          <w:rFonts w:ascii="Arial" w:eastAsia="Times New Roman" w:hAnsi="Arial" w:cs="Arial"/>
          <w:color w:val="666666"/>
          <w:kern w:val="0"/>
          <w:sz w:val="27"/>
          <w:szCs w:val="27"/>
          <w:lang w:eastAsia="es-UY"/>
          <w14:ligatures w14:val="none"/>
        </w:rPr>
        <w:t> un hito para la transformación urbana y ambiental, pero hasta ahora la lógica predominante ha sido la de la ciudad como escenario: intervenciones puntuales para complacer a los foráneos, sin una transformación duradera para quienes la habitan. El discurso de la sostenibilidad a menudo choca con los intereses de los grandes grupos económicos, promotores inmobiliarios y constructoras, que se benefician de un modelo de crecimiento desigual.</w:t>
      </w:r>
    </w:p>
    <w:p w14:paraId="319839CF"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Además, </w:t>
      </w:r>
      <w:r w:rsidRPr="005C632F">
        <w:rPr>
          <w:rFonts w:ascii="Arial" w:eastAsia="Times New Roman" w:hAnsi="Arial" w:cs="Arial"/>
          <w:b/>
          <w:bCs/>
          <w:color w:val="666666"/>
          <w:kern w:val="0"/>
          <w:sz w:val="27"/>
          <w:szCs w:val="27"/>
          <w:lang w:eastAsia="es-UY"/>
          <w14:ligatures w14:val="none"/>
        </w:rPr>
        <w:t>el conocimiento amazónico</w:t>
      </w:r>
      <w:r w:rsidRPr="005C632F">
        <w:rPr>
          <w:rFonts w:ascii="Arial" w:eastAsia="Times New Roman" w:hAnsi="Arial" w:cs="Arial"/>
          <w:color w:val="666666"/>
          <w:kern w:val="0"/>
          <w:sz w:val="27"/>
          <w:szCs w:val="27"/>
          <w:lang w:eastAsia="es-UY"/>
          <w14:ligatures w14:val="none"/>
        </w:rPr>
        <w:t> , las técnicas de construcción tradicionales y la experiencia de las universidades públicas siguen recibiendo poca atención. Existen centros de investigación que se centran directamente en la región, pero sus análisis críticos aún encuentran resistencia por parte de las autoridades gubernamentales y son invisibilizados por la narrativa dominante. Mientras tanto, términos como "soluciones basadas en la naturaleza" cobran prominencia.</w:t>
      </w:r>
    </w:p>
    <w:p w14:paraId="37EE9204" w14:textId="77777777" w:rsidR="005C632F" w:rsidRPr="005C632F" w:rsidRDefault="005C632F" w:rsidP="005C632F">
      <w:pPr>
        <w:spacing w:after="0" w:line="240" w:lineRule="auto"/>
        <w:rPr>
          <w:rFonts w:ascii="Times New Roman" w:eastAsia="Times New Roman" w:hAnsi="Times New Roman" w:cs="Times New Roman"/>
          <w:color w:val="000000"/>
          <w:kern w:val="0"/>
          <w:sz w:val="27"/>
          <w:szCs w:val="27"/>
          <w:lang w:eastAsia="es-UY"/>
          <w14:ligatures w14:val="none"/>
        </w:rPr>
      </w:pPr>
      <w:r w:rsidRPr="005C632F">
        <w:rPr>
          <w:rFonts w:ascii="Times New Roman" w:eastAsia="Times New Roman" w:hAnsi="Times New Roman" w:cs="Times New Roman"/>
          <w:noProof/>
          <w:color w:val="000000"/>
          <w:kern w:val="0"/>
          <w:sz w:val="27"/>
          <w:szCs w:val="27"/>
          <w:lang w:eastAsia="es-UY"/>
          <w14:ligatures w14:val="none"/>
        </w:rPr>
        <w:drawing>
          <wp:inline distT="0" distB="0" distL="0" distR="0" wp14:anchorId="08E99D26" wp14:editId="7984C6E1">
            <wp:extent cx="4083050" cy="3878898"/>
            <wp:effectExtent l="0" t="0" r="0" b="7620"/>
            <wp:docPr id="1" name="Imagen 1" descr="Hombre con barba y len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Hombre con barba y lentes&#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1345" cy="3886779"/>
                    </a:xfrm>
                    <a:prstGeom prst="rect">
                      <a:avLst/>
                    </a:prstGeom>
                    <a:noFill/>
                    <a:ln>
                      <a:noFill/>
                    </a:ln>
                  </pic:spPr>
                </pic:pic>
              </a:graphicData>
            </a:graphic>
          </wp:inline>
        </w:drawing>
      </w:r>
    </w:p>
    <w:p w14:paraId="566478CC" w14:textId="77777777" w:rsidR="005C632F" w:rsidRPr="005C632F" w:rsidRDefault="005C632F" w:rsidP="005C632F">
      <w:pPr>
        <w:spacing w:after="0" w:line="240" w:lineRule="auto"/>
        <w:jc w:val="center"/>
        <w:rPr>
          <w:rFonts w:ascii="Arial" w:eastAsia="Times New Roman" w:hAnsi="Arial" w:cs="Arial"/>
          <w:color w:val="666666"/>
          <w:kern w:val="0"/>
          <w:sz w:val="18"/>
          <w:szCs w:val="18"/>
          <w:lang w:eastAsia="es-UY"/>
          <w14:ligatures w14:val="none"/>
        </w:rPr>
      </w:pPr>
      <w:r w:rsidRPr="005C632F">
        <w:rPr>
          <w:rFonts w:ascii="Arial" w:eastAsia="Times New Roman" w:hAnsi="Arial" w:cs="Arial"/>
          <w:b/>
          <w:bCs/>
          <w:color w:val="666666"/>
          <w:kern w:val="0"/>
          <w:sz w:val="18"/>
          <w:szCs w:val="18"/>
          <w:lang w:eastAsia="es-UY"/>
          <w14:ligatures w14:val="none"/>
        </w:rPr>
        <w:lastRenderedPageBreak/>
        <w:t>Juliano Pamplona Ximenes Ponte</w:t>
      </w:r>
      <w:r w:rsidRPr="005C632F">
        <w:rPr>
          <w:rFonts w:ascii="Arial" w:eastAsia="Times New Roman" w:hAnsi="Arial" w:cs="Arial"/>
          <w:color w:val="666666"/>
          <w:kern w:val="0"/>
          <w:sz w:val="18"/>
          <w:szCs w:val="18"/>
          <w:lang w:eastAsia="es-UY"/>
          <w14:ligatures w14:val="none"/>
        </w:rPr>
        <w:t> (Foto: Archivo personal)</w:t>
      </w:r>
    </w:p>
    <w:p w14:paraId="677AFFAD"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El reto de </w:t>
      </w:r>
      <w:r w:rsidRPr="005C632F">
        <w:rPr>
          <w:rFonts w:ascii="Arial" w:eastAsia="Times New Roman" w:hAnsi="Arial" w:cs="Arial"/>
          <w:b/>
          <w:bCs/>
          <w:color w:val="666666"/>
          <w:kern w:val="0"/>
          <w:sz w:val="27"/>
          <w:szCs w:val="27"/>
          <w:lang w:eastAsia="es-UY"/>
          <w14:ligatures w14:val="none"/>
        </w:rPr>
        <w:t>la COP30</w:t>
      </w:r>
      <w:r w:rsidRPr="005C632F">
        <w:rPr>
          <w:rFonts w:ascii="Arial" w:eastAsia="Times New Roman" w:hAnsi="Arial" w:cs="Arial"/>
          <w:color w:val="666666"/>
          <w:kern w:val="0"/>
          <w:sz w:val="27"/>
          <w:szCs w:val="27"/>
          <w:lang w:eastAsia="es-UY"/>
          <w14:ligatures w14:val="none"/>
        </w:rPr>
        <w:t> va más allá de ser sede de un evento de relevancia internacional. El </w:t>
      </w:r>
      <w:r w:rsidRPr="005C632F">
        <w:rPr>
          <w:rFonts w:ascii="Arial" w:eastAsia="Times New Roman" w:hAnsi="Arial" w:cs="Arial"/>
          <w:b/>
          <w:bCs/>
          <w:color w:val="666666"/>
          <w:kern w:val="0"/>
          <w:sz w:val="27"/>
          <w:szCs w:val="27"/>
          <w:lang w:eastAsia="es-UY"/>
          <w14:ligatures w14:val="none"/>
        </w:rPr>
        <w:t>Instituto Humanitas Unisinos – IHU entrevistó a Juliano Pamplona Ximenes Ponte , profesor adjunto de la Facultad de Arquitectura y Urbanismo de la Universidad Federal de Pará (UFPA), en el Instituto Tecnológico (FAU-ITEC), donde</w:t>
      </w:r>
      <w:r w:rsidRPr="005C632F">
        <w:rPr>
          <w:rFonts w:ascii="Arial" w:eastAsia="Times New Roman" w:hAnsi="Arial" w:cs="Arial"/>
          <w:color w:val="666666"/>
          <w:kern w:val="0"/>
          <w:sz w:val="27"/>
          <w:szCs w:val="27"/>
          <w:lang w:eastAsia="es-UY"/>
          <w14:ligatures w14:val="none"/>
        </w:rPr>
        <w:t> también coordina el Observatorio de Metrópolis de Belém.  Juliano también es arquitecto y urbanista graduado de la UFPA, con maestría y doctorado en Planificación Urbana y Regional del IPPUR/UFRJ.</w:t>
      </w:r>
    </w:p>
    <w:p w14:paraId="74AF7A51" w14:textId="77777777" w:rsidR="005C632F" w:rsidRPr="005C632F" w:rsidRDefault="005C632F" w:rsidP="005C632F">
      <w:pPr>
        <w:spacing w:after="0" w:line="240" w:lineRule="auto"/>
        <w:jc w:val="both"/>
        <w:outlineLvl w:val="1"/>
        <w:rPr>
          <w:rFonts w:ascii="Arial" w:eastAsia="Times New Roman" w:hAnsi="Arial" w:cs="Arial"/>
          <w:b/>
          <w:bCs/>
          <w:color w:val="000000"/>
          <w:kern w:val="0"/>
          <w:sz w:val="36"/>
          <w:szCs w:val="36"/>
          <w:lang w:eastAsia="es-UY"/>
          <w14:ligatures w14:val="none"/>
        </w:rPr>
      </w:pPr>
      <w:r w:rsidRPr="005C632F">
        <w:rPr>
          <w:rFonts w:ascii="Arial" w:eastAsia="Times New Roman" w:hAnsi="Arial" w:cs="Arial"/>
          <w:b/>
          <w:bCs/>
          <w:color w:val="000000"/>
          <w:kern w:val="0"/>
          <w:sz w:val="36"/>
          <w:szCs w:val="36"/>
          <w:lang w:eastAsia="es-UY"/>
          <w14:ligatures w14:val="none"/>
        </w:rPr>
        <w:t>Vea la entrevista.</w:t>
      </w:r>
    </w:p>
    <w:p w14:paraId="0AF479E7"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IHU – Belém enfrenta graves problemas de saneamiento, movilidad y acceso a una vivienda digna. ¿Es la COP30 una oportunidad real para abordar estos problemas o existe una desconexión entre el evento y las necesidades reales de la población?</w:t>
      </w:r>
    </w:p>
    <w:p w14:paraId="5FF54BC9"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Juliano Pamplona Ximenes Ponte</w:t>
      </w:r>
      <w:r w:rsidRPr="005C632F">
        <w:rPr>
          <w:rFonts w:ascii="Arial" w:eastAsia="Times New Roman" w:hAnsi="Arial" w:cs="Arial"/>
          <w:color w:val="666666"/>
          <w:kern w:val="0"/>
          <w:sz w:val="27"/>
          <w:szCs w:val="27"/>
          <w:lang w:eastAsia="es-UY"/>
          <w14:ligatures w14:val="none"/>
        </w:rPr>
        <w:t> – </w:t>
      </w:r>
      <w:hyperlink r:id="rId10" w:tgtFrame="_blank" w:history="1">
        <w:r w:rsidRPr="005C632F">
          <w:rPr>
            <w:rFonts w:ascii="Arial" w:eastAsia="Times New Roman" w:hAnsi="Arial" w:cs="Arial"/>
            <w:color w:val="FC6B01"/>
            <w:kern w:val="0"/>
            <w:sz w:val="27"/>
            <w:szCs w:val="27"/>
            <w:u w:val="single"/>
            <w:lang w:eastAsia="es-UY"/>
            <w14:ligatures w14:val="none"/>
          </w:rPr>
          <w:t>La COP30</w:t>
        </w:r>
      </w:hyperlink>
      <w:r w:rsidRPr="005C632F">
        <w:rPr>
          <w:rFonts w:ascii="Arial" w:eastAsia="Times New Roman" w:hAnsi="Arial" w:cs="Arial"/>
          <w:color w:val="666666"/>
          <w:kern w:val="0"/>
          <w:sz w:val="27"/>
          <w:szCs w:val="27"/>
          <w:lang w:eastAsia="es-UY"/>
          <w14:ligatures w14:val="none"/>
        </w:rPr>
        <w:t> , en Belém, se presenta como un megaevento típico, pero a menor escala, sin grandes proyectos como metros, estadios deportivos o nuevos aeropuertos. De los aproximadamente 40 proyectos involucrados, muchos ya estaban en la mira de los gobiernos municipales y estatales, y otros son intervenciones específicas con gran atractivo visual, principalmente en barrios céntricos.</w:t>
      </w:r>
    </w:p>
    <w:p w14:paraId="6069590D"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A pesar de ello, se trata de un volumen de recursos sin precedentes para una ciudad con un historial de presupuestos limitados y baja capacidad de inversión. Algunos proyectos, como la renovación del </w:t>
      </w:r>
      <w:r w:rsidRPr="005C632F">
        <w:rPr>
          <w:rFonts w:ascii="Arial" w:eastAsia="Times New Roman" w:hAnsi="Arial" w:cs="Arial"/>
          <w:b/>
          <w:bCs/>
          <w:color w:val="666666"/>
          <w:kern w:val="0"/>
          <w:sz w:val="27"/>
          <w:szCs w:val="27"/>
          <w:lang w:eastAsia="es-UY"/>
          <w14:ligatures w14:val="none"/>
        </w:rPr>
        <w:t>Canal de São Joaquim</w:t>
      </w:r>
      <w:r w:rsidRPr="005C632F">
        <w:rPr>
          <w:rFonts w:ascii="Arial" w:eastAsia="Times New Roman" w:hAnsi="Arial" w:cs="Arial"/>
          <w:color w:val="666666"/>
          <w:kern w:val="0"/>
          <w:sz w:val="27"/>
          <w:szCs w:val="27"/>
          <w:lang w:eastAsia="es-UY"/>
          <w14:ligatures w14:val="none"/>
        </w:rPr>
        <w:t> y </w:t>
      </w:r>
      <w:r w:rsidRPr="005C632F">
        <w:rPr>
          <w:rFonts w:ascii="Arial" w:eastAsia="Times New Roman" w:hAnsi="Arial" w:cs="Arial"/>
          <w:b/>
          <w:bCs/>
          <w:color w:val="666666"/>
          <w:kern w:val="0"/>
          <w:sz w:val="27"/>
          <w:szCs w:val="27"/>
          <w:lang w:eastAsia="es-UY"/>
          <w14:ligatures w14:val="none"/>
        </w:rPr>
        <w:t>Ver-O-Peso</w:t>
      </w:r>
      <w:r w:rsidRPr="005C632F">
        <w:rPr>
          <w:rFonts w:ascii="Arial" w:eastAsia="Times New Roman" w:hAnsi="Arial" w:cs="Arial"/>
          <w:color w:val="666666"/>
          <w:kern w:val="0"/>
          <w:sz w:val="27"/>
          <w:szCs w:val="27"/>
          <w:lang w:eastAsia="es-UY"/>
          <w14:ligatures w14:val="none"/>
        </w:rPr>
        <w:t> , responden a demandas populares. Otros, como la reurbanización de avenidas estratégicas y la creación de </w:t>
      </w:r>
      <w:r w:rsidRPr="005C632F">
        <w:rPr>
          <w:rFonts w:ascii="Arial" w:eastAsia="Times New Roman" w:hAnsi="Arial" w:cs="Arial"/>
          <w:b/>
          <w:bCs/>
          <w:color w:val="666666"/>
          <w:kern w:val="0"/>
          <w:sz w:val="27"/>
          <w:szCs w:val="27"/>
          <w:lang w:eastAsia="es-UY"/>
          <w14:ligatures w14:val="none"/>
        </w:rPr>
        <w:t>Vila COP30</w:t>
      </w:r>
      <w:r w:rsidRPr="005C632F">
        <w:rPr>
          <w:rFonts w:ascii="Arial" w:eastAsia="Times New Roman" w:hAnsi="Arial" w:cs="Arial"/>
          <w:color w:val="666666"/>
          <w:kern w:val="0"/>
          <w:sz w:val="27"/>
          <w:szCs w:val="27"/>
          <w:lang w:eastAsia="es-UY"/>
          <w14:ligatures w14:val="none"/>
        </w:rPr>
        <w:t> , están claramente orientados a la circulación de autoridades y turistas, con un enfoque en la imagen, la iluminación, la seguridad y la vigilancia de la ciudad, pero con poca atención a soluciones estructurales o sostenibles.</w:t>
      </w:r>
    </w:p>
    <w:p w14:paraId="448A2B4D"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El lenguaje urbano de estas obras es a menudo árido: poca vegetación, falta de espacios para permanecer y ningún progreso real en términos de saneamiento o integración ambiental.</w:t>
      </w:r>
    </w:p>
    <w:p w14:paraId="03AC122D"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En zonas como el </w:t>
      </w:r>
      <w:r w:rsidRPr="005C632F">
        <w:rPr>
          <w:rFonts w:ascii="Arial" w:eastAsia="Times New Roman" w:hAnsi="Arial" w:cs="Arial"/>
          <w:b/>
          <w:bCs/>
          <w:color w:val="666666"/>
          <w:kern w:val="0"/>
          <w:sz w:val="27"/>
          <w:szCs w:val="27"/>
          <w:lang w:eastAsia="es-UY"/>
          <w14:ligatures w14:val="none"/>
        </w:rPr>
        <w:t>Mercado de São Brás</w:t>
      </w:r>
      <w:r w:rsidRPr="005C632F">
        <w:rPr>
          <w:rFonts w:ascii="Arial" w:eastAsia="Times New Roman" w:hAnsi="Arial" w:cs="Arial"/>
          <w:color w:val="666666"/>
          <w:kern w:val="0"/>
          <w:sz w:val="27"/>
          <w:szCs w:val="27"/>
          <w:lang w:eastAsia="es-UY"/>
          <w14:ligatures w14:val="none"/>
        </w:rPr>
        <w:t> , la inversión se centra más en </w:t>
      </w:r>
      <w:hyperlink r:id="rId11" w:tgtFrame="_blank" w:history="1">
        <w:r w:rsidRPr="005C632F">
          <w:rPr>
            <w:rFonts w:ascii="Arial" w:eastAsia="Times New Roman" w:hAnsi="Arial" w:cs="Arial"/>
            <w:color w:val="FC6B01"/>
            <w:kern w:val="0"/>
            <w:sz w:val="27"/>
            <w:szCs w:val="27"/>
            <w:u w:val="single"/>
            <w:lang w:eastAsia="es-UY"/>
            <w14:ligatures w14:val="none"/>
          </w:rPr>
          <w:t>la gentrificación</w:t>
        </w:r>
      </w:hyperlink>
      <w:r w:rsidRPr="005C632F">
        <w:rPr>
          <w:rFonts w:ascii="Arial" w:eastAsia="Times New Roman" w:hAnsi="Arial" w:cs="Arial"/>
          <w:color w:val="666666"/>
          <w:kern w:val="0"/>
          <w:sz w:val="27"/>
          <w:szCs w:val="27"/>
          <w:lang w:eastAsia="es-UY"/>
          <w14:ligatures w14:val="none"/>
        </w:rPr>
        <w:t> que en potenciar el uso popular histórico. Proyectos prioritarios, como los programas de urbanización de favelas, especialmente en la Región Metropolitana de Belém, donde más del 55% de la población vive en comunidades precarias, siguen siendo desatendidos.</w:t>
      </w:r>
    </w:p>
    <w:p w14:paraId="7B41FCB8"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Pará tiene una de las peores tasas de cobertura </w:t>
      </w:r>
      <w:r w:rsidRPr="005C632F">
        <w:rPr>
          <w:rFonts w:ascii="Arial" w:eastAsia="Times New Roman" w:hAnsi="Arial" w:cs="Arial"/>
          <w:b/>
          <w:bCs/>
          <w:color w:val="666666"/>
          <w:kern w:val="0"/>
          <w:sz w:val="27"/>
          <w:szCs w:val="27"/>
          <w:lang w:eastAsia="es-UY"/>
          <w14:ligatures w14:val="none"/>
        </w:rPr>
        <w:t>de saneamiento básico entre los estados con grandes municipios. Y si bien ya existen planes maestros para los sistemas de agua y alcantarillado, faltan inversiones</w:t>
      </w:r>
      <w:r w:rsidRPr="005C632F">
        <w:rPr>
          <w:rFonts w:ascii="Arial" w:eastAsia="Times New Roman" w:hAnsi="Arial" w:cs="Arial"/>
          <w:color w:val="666666"/>
          <w:kern w:val="0"/>
          <w:sz w:val="27"/>
          <w:szCs w:val="27"/>
          <w:lang w:eastAsia="es-UY"/>
          <w14:ligatures w14:val="none"/>
        </w:rPr>
        <w:t xml:space="preserve"> y actualizaciones. Sería más coherente con el espíritu de un evento climático garantizar el acceso universal al agua tratada y al saneamiento que promover reformas </w:t>
      </w:r>
      <w:r w:rsidRPr="005C632F">
        <w:rPr>
          <w:rFonts w:ascii="Arial" w:eastAsia="Times New Roman" w:hAnsi="Arial" w:cs="Arial"/>
          <w:color w:val="666666"/>
          <w:kern w:val="0"/>
          <w:sz w:val="27"/>
          <w:szCs w:val="27"/>
          <w:lang w:eastAsia="es-UY"/>
          <w14:ligatures w14:val="none"/>
        </w:rPr>
        <w:lastRenderedPageBreak/>
        <w:t>superficiales en las zonas centrales. Algunas acciones, como la promesa de un sistema integrado de BRT, son positivas, pero no son suficientes para abordar las emergencias sociales y ambientales de la ciudad y la región.</w:t>
      </w:r>
    </w:p>
    <w:p w14:paraId="2D891DC6"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IHU – ¿Cuáles son los principales impactos socioambientales inmediatos que han observado con las obras y reformas preparatorias para la COP30 en Belém?</w:t>
      </w:r>
    </w:p>
    <w:p w14:paraId="00480362"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Juliano Pamplona Ximenes Ponte – Belém</w:t>
      </w:r>
      <w:r w:rsidRPr="005C632F">
        <w:rPr>
          <w:rFonts w:ascii="Arial" w:eastAsia="Times New Roman" w:hAnsi="Arial" w:cs="Arial"/>
          <w:color w:val="666666"/>
          <w:kern w:val="0"/>
          <w:sz w:val="27"/>
          <w:szCs w:val="27"/>
          <w:lang w:eastAsia="es-UY"/>
          <w14:ligatures w14:val="none"/>
        </w:rPr>
        <w:t> aún cuenta con pocas redes </w:t>
      </w:r>
      <w:hyperlink r:id="rId12" w:tgtFrame="_blank" w:history="1">
        <w:r w:rsidRPr="005C632F">
          <w:rPr>
            <w:rFonts w:ascii="Arial" w:eastAsia="Times New Roman" w:hAnsi="Arial" w:cs="Arial"/>
            <w:color w:val="FC6B01"/>
            <w:kern w:val="0"/>
            <w:sz w:val="27"/>
            <w:szCs w:val="27"/>
            <w:u w:val="single"/>
            <w:lang w:eastAsia="es-UY"/>
            <w14:ligatures w14:val="none"/>
          </w:rPr>
          <w:t>de recolección y tratamiento de aguas residuales</w:t>
        </w:r>
      </w:hyperlink>
      <w:r w:rsidRPr="005C632F">
        <w:rPr>
          <w:rFonts w:ascii="Arial" w:eastAsia="Times New Roman" w:hAnsi="Arial" w:cs="Arial"/>
          <w:color w:val="666666"/>
          <w:kern w:val="0"/>
          <w:sz w:val="27"/>
          <w:szCs w:val="27"/>
          <w:lang w:eastAsia="es-UY"/>
          <w14:ligatures w14:val="none"/>
        </w:rPr>
        <w:t> . Salvo la estación </w:t>
      </w:r>
      <w:r w:rsidRPr="005C632F">
        <w:rPr>
          <w:rFonts w:ascii="Arial" w:eastAsia="Times New Roman" w:hAnsi="Arial" w:cs="Arial"/>
          <w:b/>
          <w:bCs/>
          <w:color w:val="666666"/>
          <w:kern w:val="0"/>
          <w:sz w:val="27"/>
          <w:szCs w:val="27"/>
          <w:lang w:eastAsia="es-UY"/>
          <w14:ligatures w14:val="none"/>
        </w:rPr>
        <w:t>de la Cuenca de Estrada Nova</w:t>
      </w:r>
      <w:r w:rsidRPr="005C632F">
        <w:rPr>
          <w:rFonts w:ascii="Arial" w:eastAsia="Times New Roman" w:hAnsi="Arial" w:cs="Arial"/>
          <w:color w:val="666666"/>
          <w:kern w:val="0"/>
          <w:sz w:val="27"/>
          <w:szCs w:val="27"/>
          <w:lang w:eastAsia="es-UY"/>
          <w14:ligatures w14:val="none"/>
        </w:rPr>
        <w:t> , las demás estructuras atienden principalmente a zonas centrales, ignorando comunidades como </w:t>
      </w:r>
      <w:r w:rsidRPr="005C632F">
        <w:rPr>
          <w:rFonts w:ascii="Arial" w:eastAsia="Times New Roman" w:hAnsi="Arial" w:cs="Arial"/>
          <w:b/>
          <w:bCs/>
          <w:color w:val="666666"/>
          <w:kern w:val="0"/>
          <w:sz w:val="27"/>
          <w:szCs w:val="27"/>
          <w:lang w:eastAsia="es-UY"/>
          <w14:ligatures w14:val="none"/>
        </w:rPr>
        <w:t>Vila da Barca</w:t>
      </w:r>
      <w:r w:rsidRPr="005C632F">
        <w:rPr>
          <w:rFonts w:ascii="Arial" w:eastAsia="Times New Roman" w:hAnsi="Arial" w:cs="Arial"/>
          <w:color w:val="666666"/>
          <w:kern w:val="0"/>
          <w:sz w:val="27"/>
          <w:szCs w:val="27"/>
          <w:lang w:eastAsia="es-UY"/>
          <w14:ligatures w14:val="none"/>
        </w:rPr>
        <w:t> , en el límite de </w:t>
      </w:r>
      <w:r w:rsidRPr="005C632F">
        <w:rPr>
          <w:rFonts w:ascii="Arial" w:eastAsia="Times New Roman" w:hAnsi="Arial" w:cs="Arial"/>
          <w:b/>
          <w:bCs/>
          <w:color w:val="666666"/>
          <w:kern w:val="0"/>
          <w:sz w:val="27"/>
          <w:szCs w:val="27"/>
          <w:lang w:eastAsia="es-UY"/>
          <w14:ligatures w14:val="none"/>
        </w:rPr>
        <w:t>la Bahía de Guajará</w:t>
      </w:r>
      <w:r w:rsidRPr="005C632F">
        <w:rPr>
          <w:rFonts w:ascii="Arial" w:eastAsia="Times New Roman" w:hAnsi="Arial" w:cs="Arial"/>
          <w:color w:val="666666"/>
          <w:kern w:val="0"/>
          <w:sz w:val="27"/>
          <w:szCs w:val="27"/>
          <w:lang w:eastAsia="es-UY"/>
          <w14:ligatures w14:val="none"/>
        </w:rPr>
        <w:t> . Existen registros de impactos directos, como el vertido de efluentes del proyecto de construcción </w:t>
      </w:r>
      <w:r w:rsidRPr="005C632F">
        <w:rPr>
          <w:rFonts w:ascii="Arial" w:eastAsia="Times New Roman" w:hAnsi="Arial" w:cs="Arial"/>
          <w:b/>
          <w:bCs/>
          <w:color w:val="666666"/>
          <w:kern w:val="0"/>
          <w:sz w:val="27"/>
          <w:szCs w:val="27"/>
          <w:lang w:eastAsia="es-UY"/>
          <w14:ligatures w14:val="none"/>
        </w:rPr>
        <w:t>del Muelle</w:t>
      </w:r>
      <w:r w:rsidRPr="005C632F">
        <w:rPr>
          <w:rFonts w:ascii="Arial" w:eastAsia="Times New Roman" w:hAnsi="Arial" w:cs="Arial"/>
          <w:color w:val="666666"/>
          <w:kern w:val="0"/>
          <w:sz w:val="27"/>
          <w:szCs w:val="27"/>
          <w:lang w:eastAsia="es-UY"/>
          <w14:ligatures w14:val="none"/>
        </w:rPr>
        <w:t> en esta misma favela.</w:t>
      </w:r>
    </w:p>
    <w:p w14:paraId="65B680E5"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También se ha producido un </w:t>
      </w:r>
      <w:r w:rsidRPr="005C632F">
        <w:rPr>
          <w:rFonts w:ascii="Arial" w:eastAsia="Times New Roman" w:hAnsi="Arial" w:cs="Arial"/>
          <w:b/>
          <w:bCs/>
          <w:color w:val="666666"/>
          <w:kern w:val="0"/>
          <w:sz w:val="27"/>
          <w:szCs w:val="27"/>
          <w:lang w:eastAsia="es-UY"/>
          <w14:ligatures w14:val="none"/>
        </w:rPr>
        <w:t>aumento artificial del valor de los inmuebles</w:t>
      </w:r>
      <w:r w:rsidRPr="005C632F">
        <w:rPr>
          <w:rFonts w:ascii="Arial" w:eastAsia="Times New Roman" w:hAnsi="Arial" w:cs="Arial"/>
          <w:color w:val="666666"/>
          <w:kern w:val="0"/>
          <w:sz w:val="27"/>
          <w:szCs w:val="27"/>
          <w:lang w:eastAsia="es-UY"/>
          <w14:ligatures w14:val="none"/>
        </w:rPr>
        <w:t> y </w:t>
      </w:r>
      <w:r w:rsidRPr="005C632F">
        <w:rPr>
          <w:rFonts w:ascii="Arial" w:eastAsia="Times New Roman" w:hAnsi="Arial" w:cs="Arial"/>
          <w:b/>
          <w:bCs/>
          <w:color w:val="666666"/>
          <w:kern w:val="0"/>
          <w:sz w:val="27"/>
          <w:szCs w:val="27"/>
          <w:lang w:eastAsia="es-UY"/>
          <w14:ligatures w14:val="none"/>
        </w:rPr>
        <w:t>de los alquileres</w:t>
      </w:r>
      <w:r w:rsidRPr="005C632F">
        <w:rPr>
          <w:rFonts w:ascii="Arial" w:eastAsia="Times New Roman" w:hAnsi="Arial" w:cs="Arial"/>
          <w:color w:val="666666"/>
          <w:kern w:val="0"/>
          <w:sz w:val="27"/>
          <w:szCs w:val="27"/>
          <w:lang w:eastAsia="es-UY"/>
          <w14:ligatures w14:val="none"/>
        </w:rPr>
        <w:t> , además de la concentración de los beneficios urbanos en las zonas de mayor renta, dejando fuera a los barrios más densos y vulnerables. Las obras han provocado cierres de carreteras, aislamiento de zonas urbanas, contaminación y el vaciamiento de espacios públicos, lo que ha generado episodios de violencia urbana.</w:t>
      </w:r>
    </w:p>
    <w:p w14:paraId="257BB72C" w14:textId="77777777" w:rsid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En el área metropolitana, la construcción de carreteras está provocando deforestación y pérdida de fauna silvestre, agravando un proceso ya intenso de degradación ambiental. La región pierde aproximadamente una sexta parte de su vegetación cada década. Esto compromete el suelo, la humedad del aire, el agua dulce superficial y la biodiversidad. La expansión de la red vial, realizada sin una evaluación de impacto adecuada y sin considerar alternativas, aumenta los riesgos ambientales y sociales.</w:t>
      </w:r>
    </w:p>
    <w:p w14:paraId="56F6E31A"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p>
    <w:p w14:paraId="162EDD04" w14:textId="77777777" w:rsidR="005C632F" w:rsidRPr="005C632F" w:rsidRDefault="005C632F" w:rsidP="005C632F">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5C632F">
        <w:rPr>
          <w:rFonts w:ascii="Arial" w:eastAsia="Times New Roman" w:hAnsi="Arial" w:cs="Arial"/>
          <w:b/>
          <w:bCs/>
          <w:i/>
          <w:iCs/>
          <w:color w:val="BF4E14" w:themeColor="accent2" w:themeShade="BF"/>
          <w:kern w:val="0"/>
          <w:sz w:val="27"/>
          <w:szCs w:val="27"/>
          <w:lang w:eastAsia="es-UY"/>
          <w14:ligatures w14:val="none"/>
        </w:rPr>
        <w:t>Hay un aumento artificial del valor de las propiedades y un aumento de los alquileres, además de la concentración de los beneficios urbanos en las zonas de mayores ingresos, dejando fuera a los barrios más densos y vulnerables – Juliano Pamplona Ximenes Ponte</w:t>
      </w:r>
    </w:p>
    <w:p w14:paraId="1EE1A79D" w14:textId="5F8D662B" w:rsidR="005C632F" w:rsidRPr="005C632F" w:rsidRDefault="005C632F" w:rsidP="005C632F">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51E7FE9C"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IHU – ¿Existe una participación popular efectiva en las decisiones sobre las obras y proyectos de la COP en Belém? ¿Cómo puede esta participación beneficiar a las obras?</w:t>
      </w:r>
    </w:p>
    <w:p w14:paraId="4C1F98F0"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Juliano Pamplona Ximenes Ponte –</w:t>
      </w:r>
      <w:r w:rsidRPr="005C632F">
        <w:rPr>
          <w:rFonts w:ascii="Arial" w:eastAsia="Times New Roman" w:hAnsi="Arial" w:cs="Arial"/>
          <w:color w:val="666666"/>
          <w:kern w:val="0"/>
          <w:sz w:val="27"/>
          <w:szCs w:val="27"/>
          <w:lang w:eastAsia="es-UY"/>
          <w14:ligatures w14:val="none"/>
        </w:rPr>
        <w:t> Durante la administración </w:t>
      </w:r>
      <w:r w:rsidRPr="005C632F">
        <w:rPr>
          <w:rFonts w:ascii="Arial" w:eastAsia="Times New Roman" w:hAnsi="Arial" w:cs="Arial"/>
          <w:b/>
          <w:bCs/>
          <w:color w:val="666666"/>
          <w:kern w:val="0"/>
          <w:sz w:val="27"/>
          <w:szCs w:val="27"/>
          <w:lang w:eastAsia="es-UY"/>
          <w14:ligatures w14:val="none"/>
        </w:rPr>
        <w:t>de Edmilson Rodrigues</w:t>
      </w:r>
      <w:r w:rsidRPr="005C632F">
        <w:rPr>
          <w:rFonts w:ascii="Arial" w:eastAsia="Times New Roman" w:hAnsi="Arial" w:cs="Arial"/>
          <w:color w:val="666666"/>
          <w:kern w:val="0"/>
          <w:sz w:val="27"/>
          <w:szCs w:val="27"/>
          <w:lang w:eastAsia="es-UY"/>
          <w14:ligatures w14:val="none"/>
        </w:rPr>
        <w:t> (2021-2024), se observó una mayor apertura a la </w:t>
      </w:r>
      <w:r w:rsidRPr="005C632F">
        <w:rPr>
          <w:rFonts w:ascii="Arial" w:eastAsia="Times New Roman" w:hAnsi="Arial" w:cs="Arial"/>
          <w:b/>
          <w:bCs/>
          <w:color w:val="666666"/>
          <w:kern w:val="0"/>
          <w:sz w:val="27"/>
          <w:szCs w:val="27"/>
          <w:lang w:eastAsia="es-UY"/>
          <w14:ligatures w14:val="none"/>
        </w:rPr>
        <w:t>participación popular</w:t>
      </w:r>
      <w:r w:rsidRPr="005C632F">
        <w:rPr>
          <w:rFonts w:ascii="Arial" w:eastAsia="Times New Roman" w:hAnsi="Arial" w:cs="Arial"/>
          <w:color w:val="666666"/>
          <w:kern w:val="0"/>
          <w:sz w:val="27"/>
          <w:szCs w:val="27"/>
          <w:lang w:eastAsia="es-UY"/>
          <w14:ligatures w14:val="none"/>
        </w:rPr>
        <w:t> en proyectos como la restauración del </w:t>
      </w:r>
      <w:r w:rsidRPr="005C632F">
        <w:rPr>
          <w:rFonts w:ascii="Arial" w:eastAsia="Times New Roman" w:hAnsi="Arial" w:cs="Arial"/>
          <w:b/>
          <w:bCs/>
          <w:color w:val="666666"/>
          <w:kern w:val="0"/>
          <w:sz w:val="27"/>
          <w:szCs w:val="27"/>
          <w:lang w:eastAsia="es-UY"/>
          <w14:ligatures w14:val="none"/>
        </w:rPr>
        <w:t>Mercado de São Brás</w:t>
      </w:r>
      <w:r w:rsidRPr="005C632F">
        <w:rPr>
          <w:rFonts w:ascii="Arial" w:eastAsia="Times New Roman" w:hAnsi="Arial" w:cs="Arial"/>
          <w:color w:val="666666"/>
          <w:kern w:val="0"/>
          <w:sz w:val="27"/>
          <w:szCs w:val="27"/>
          <w:lang w:eastAsia="es-UY"/>
          <w14:ligatures w14:val="none"/>
        </w:rPr>
        <w:t> , la renovación de </w:t>
      </w:r>
      <w:r w:rsidRPr="005C632F">
        <w:rPr>
          <w:rFonts w:ascii="Arial" w:eastAsia="Times New Roman" w:hAnsi="Arial" w:cs="Arial"/>
          <w:b/>
          <w:bCs/>
          <w:color w:val="666666"/>
          <w:kern w:val="0"/>
          <w:sz w:val="27"/>
          <w:szCs w:val="27"/>
          <w:lang w:eastAsia="es-UY"/>
          <w14:ligatures w14:val="none"/>
        </w:rPr>
        <w:t>Ver-O-Peso</w:t>
      </w:r>
      <w:r w:rsidRPr="005C632F">
        <w:rPr>
          <w:rFonts w:ascii="Arial" w:eastAsia="Times New Roman" w:hAnsi="Arial" w:cs="Arial"/>
          <w:color w:val="666666"/>
          <w:kern w:val="0"/>
          <w:sz w:val="27"/>
          <w:szCs w:val="27"/>
          <w:lang w:eastAsia="es-UY"/>
          <w14:ligatures w14:val="none"/>
        </w:rPr>
        <w:t> y las obras de macrodrenaje en cuencas periféricas como </w:t>
      </w:r>
      <w:r w:rsidRPr="005C632F">
        <w:rPr>
          <w:rFonts w:ascii="Arial" w:eastAsia="Times New Roman" w:hAnsi="Arial" w:cs="Arial"/>
          <w:b/>
          <w:bCs/>
          <w:color w:val="666666"/>
          <w:kern w:val="0"/>
          <w:sz w:val="27"/>
          <w:szCs w:val="27"/>
          <w:lang w:eastAsia="es-UY"/>
          <w14:ligatures w14:val="none"/>
        </w:rPr>
        <w:t>Estrada Nova</w:t>
      </w:r>
      <w:r w:rsidRPr="005C632F">
        <w:rPr>
          <w:rFonts w:ascii="Arial" w:eastAsia="Times New Roman" w:hAnsi="Arial" w:cs="Arial"/>
          <w:color w:val="666666"/>
          <w:kern w:val="0"/>
          <w:sz w:val="27"/>
          <w:szCs w:val="27"/>
          <w:lang w:eastAsia="es-UY"/>
          <w14:ligatures w14:val="none"/>
        </w:rPr>
        <w:t> y </w:t>
      </w:r>
      <w:r w:rsidRPr="005C632F">
        <w:rPr>
          <w:rFonts w:ascii="Arial" w:eastAsia="Times New Roman" w:hAnsi="Arial" w:cs="Arial"/>
          <w:b/>
          <w:bCs/>
          <w:color w:val="666666"/>
          <w:kern w:val="0"/>
          <w:sz w:val="27"/>
          <w:szCs w:val="27"/>
          <w:lang w:eastAsia="es-UY"/>
          <w14:ligatures w14:val="none"/>
        </w:rPr>
        <w:t>Mata-</w:t>
      </w:r>
      <w:r w:rsidRPr="005C632F">
        <w:rPr>
          <w:rFonts w:ascii="Arial" w:eastAsia="Times New Roman" w:hAnsi="Arial" w:cs="Arial"/>
          <w:b/>
          <w:bCs/>
          <w:color w:val="666666"/>
          <w:kern w:val="0"/>
          <w:sz w:val="27"/>
          <w:szCs w:val="27"/>
          <w:lang w:eastAsia="es-UY"/>
          <w14:ligatures w14:val="none"/>
        </w:rPr>
        <w:lastRenderedPageBreak/>
        <w:t>Fome-Paracuri</w:t>
      </w:r>
      <w:r w:rsidRPr="005C632F">
        <w:rPr>
          <w:rFonts w:ascii="Arial" w:eastAsia="Times New Roman" w:hAnsi="Arial" w:cs="Arial"/>
          <w:color w:val="666666"/>
          <w:kern w:val="0"/>
          <w:sz w:val="27"/>
          <w:szCs w:val="27"/>
          <w:lang w:eastAsia="es-UY"/>
          <w14:ligatures w14:val="none"/>
        </w:rPr>
        <w:t> . Estas intervenciones estuvieron más conectadas con las demandas de la población.</w:t>
      </w:r>
    </w:p>
    <w:p w14:paraId="733B0919"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En contraste, el gobierno estatal, con mayores recursos y apoyo federal, ha ejecutado la mayoría de los proyectos, que son de naturaleza más estructural, pero tienen importantes </w:t>
      </w:r>
      <w:r w:rsidRPr="005C632F">
        <w:rPr>
          <w:rFonts w:ascii="Arial" w:eastAsia="Times New Roman" w:hAnsi="Arial" w:cs="Arial"/>
          <w:b/>
          <w:bCs/>
          <w:color w:val="666666"/>
          <w:kern w:val="0"/>
          <w:sz w:val="27"/>
          <w:szCs w:val="27"/>
          <w:lang w:eastAsia="es-UY"/>
          <w14:ligatures w14:val="none"/>
        </w:rPr>
        <w:t>impactos</w:t>
      </w:r>
      <w:r w:rsidRPr="005C632F">
        <w:rPr>
          <w:rFonts w:ascii="Arial" w:eastAsia="Times New Roman" w:hAnsi="Arial" w:cs="Arial"/>
          <w:color w:val="666666"/>
          <w:kern w:val="0"/>
          <w:sz w:val="27"/>
          <w:szCs w:val="27"/>
          <w:lang w:eastAsia="es-UY"/>
          <w14:ligatures w14:val="none"/>
        </w:rPr>
        <w:t> urbanos , </w:t>
      </w:r>
      <w:r w:rsidRPr="005C632F">
        <w:rPr>
          <w:rFonts w:ascii="Arial" w:eastAsia="Times New Roman" w:hAnsi="Arial" w:cs="Arial"/>
          <w:b/>
          <w:bCs/>
          <w:color w:val="666666"/>
          <w:kern w:val="0"/>
          <w:sz w:val="27"/>
          <w:szCs w:val="27"/>
          <w:lang w:eastAsia="es-UY"/>
          <w14:ligatures w14:val="none"/>
        </w:rPr>
        <w:t>territoriales</w:t>
      </w:r>
      <w:r w:rsidRPr="005C632F">
        <w:rPr>
          <w:rFonts w:ascii="Arial" w:eastAsia="Times New Roman" w:hAnsi="Arial" w:cs="Arial"/>
          <w:color w:val="666666"/>
          <w:kern w:val="0"/>
          <w:sz w:val="27"/>
          <w:szCs w:val="27"/>
          <w:lang w:eastAsia="es-UY"/>
          <w14:ligatures w14:val="none"/>
        </w:rPr>
        <w:t> y </w:t>
      </w:r>
      <w:r w:rsidRPr="005C632F">
        <w:rPr>
          <w:rFonts w:ascii="Arial" w:eastAsia="Times New Roman" w:hAnsi="Arial" w:cs="Arial"/>
          <w:b/>
          <w:bCs/>
          <w:color w:val="666666"/>
          <w:kern w:val="0"/>
          <w:sz w:val="27"/>
          <w:szCs w:val="27"/>
          <w:lang w:eastAsia="es-UY"/>
          <w14:ligatures w14:val="none"/>
        </w:rPr>
        <w:t>socioambientales</w:t>
      </w:r>
      <w:r w:rsidRPr="005C632F">
        <w:rPr>
          <w:rFonts w:ascii="Arial" w:eastAsia="Times New Roman" w:hAnsi="Arial" w:cs="Arial"/>
          <w:color w:val="666666"/>
          <w:kern w:val="0"/>
          <w:sz w:val="27"/>
          <w:szCs w:val="27"/>
          <w:lang w:eastAsia="es-UY"/>
          <w14:ligatures w14:val="none"/>
        </w:rPr>
        <w:t> . Muchos de estos proyectos no fueron resultado de demandas populares, a pesar de haber pasado por mecanismos formales de consulta, como </w:t>
      </w:r>
      <w:r w:rsidRPr="005C632F">
        <w:rPr>
          <w:rFonts w:ascii="Arial" w:eastAsia="Times New Roman" w:hAnsi="Arial" w:cs="Arial"/>
          <w:b/>
          <w:bCs/>
          <w:color w:val="666666"/>
          <w:kern w:val="0"/>
          <w:sz w:val="27"/>
          <w:szCs w:val="27"/>
          <w:lang w:eastAsia="es-UY"/>
          <w14:ligatures w14:val="none"/>
        </w:rPr>
        <w:t>Planeja Pará</w:t>
      </w:r>
      <w:r w:rsidRPr="005C632F">
        <w:rPr>
          <w:rFonts w:ascii="Arial" w:eastAsia="Times New Roman" w:hAnsi="Arial" w:cs="Arial"/>
          <w:color w:val="666666"/>
          <w:kern w:val="0"/>
          <w:sz w:val="27"/>
          <w:szCs w:val="27"/>
          <w:lang w:eastAsia="es-UY"/>
          <w14:ligatures w14:val="none"/>
        </w:rPr>
        <w:t> y </w:t>
      </w:r>
      <w:r w:rsidRPr="005C632F">
        <w:rPr>
          <w:rFonts w:ascii="Arial" w:eastAsia="Times New Roman" w:hAnsi="Arial" w:cs="Arial"/>
          <w:b/>
          <w:bCs/>
          <w:color w:val="666666"/>
          <w:kern w:val="0"/>
          <w:sz w:val="27"/>
          <w:szCs w:val="27"/>
          <w:lang w:eastAsia="es-UY"/>
          <w14:ligatures w14:val="none"/>
        </w:rPr>
        <w:t>Concidades-PA</w:t>
      </w:r>
      <w:r w:rsidRPr="005C632F">
        <w:rPr>
          <w:rFonts w:ascii="Arial" w:eastAsia="Times New Roman" w:hAnsi="Arial" w:cs="Arial"/>
          <w:color w:val="666666"/>
          <w:kern w:val="0"/>
          <w:sz w:val="27"/>
          <w:szCs w:val="27"/>
          <w:lang w:eastAsia="es-UY"/>
          <w14:ligatures w14:val="none"/>
        </w:rPr>
        <w:t> . Algunos proyectos estuvieron en las listas de prioridades durante décadas y ahora son posibles gracias a los recursos proporcionados por </w:t>
      </w:r>
      <w:hyperlink r:id="rId13" w:tgtFrame="_blank" w:history="1">
        <w:r w:rsidRPr="005C632F">
          <w:rPr>
            <w:rFonts w:ascii="Arial" w:eastAsia="Times New Roman" w:hAnsi="Arial" w:cs="Arial"/>
            <w:color w:val="FC6B01"/>
            <w:kern w:val="0"/>
            <w:sz w:val="27"/>
            <w:szCs w:val="27"/>
            <w:u w:val="single"/>
            <w:lang w:eastAsia="es-UY"/>
            <w14:ligatures w14:val="none"/>
          </w:rPr>
          <w:t>la COP30</w:t>
        </w:r>
      </w:hyperlink>
      <w:r w:rsidRPr="005C632F">
        <w:rPr>
          <w:rFonts w:ascii="Arial" w:eastAsia="Times New Roman" w:hAnsi="Arial" w:cs="Arial"/>
          <w:color w:val="666666"/>
          <w:kern w:val="0"/>
          <w:sz w:val="27"/>
          <w:szCs w:val="27"/>
          <w:lang w:eastAsia="es-UY"/>
          <w14:ligatures w14:val="none"/>
        </w:rPr>
        <w:t> , alrededor de R$7 mil millones en inversiones públicas y privadas de interés público, como las de </w:t>
      </w:r>
      <w:r w:rsidRPr="005C632F">
        <w:rPr>
          <w:rFonts w:ascii="Arial" w:eastAsia="Times New Roman" w:hAnsi="Arial" w:cs="Arial"/>
          <w:b/>
          <w:bCs/>
          <w:color w:val="666666"/>
          <w:kern w:val="0"/>
          <w:sz w:val="27"/>
          <w:szCs w:val="27"/>
          <w:lang w:eastAsia="es-UY"/>
          <w14:ligatures w14:val="none"/>
        </w:rPr>
        <w:t>Itaipú Binacional</w:t>
      </w:r>
      <w:r w:rsidRPr="005C632F">
        <w:rPr>
          <w:rFonts w:ascii="Arial" w:eastAsia="Times New Roman" w:hAnsi="Arial" w:cs="Arial"/>
          <w:color w:val="666666"/>
          <w:kern w:val="0"/>
          <w:sz w:val="27"/>
          <w:szCs w:val="27"/>
          <w:lang w:eastAsia="es-UY"/>
          <w14:ligatures w14:val="none"/>
        </w:rPr>
        <w:t> .</w:t>
      </w:r>
    </w:p>
    <w:p w14:paraId="3AD90316"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A pesar de ello, estas intervenciones podrían haberse difundido y debatido mejor con la población. Un proceso más transparente y participativo permitiría realizar ajustes importantes, reduciendo los impactos negativos, especialmente en las comunidades vulnerables, y fortaleciendo la legitimidad de las acciones. </w:t>
      </w:r>
      <w:r w:rsidRPr="005C632F">
        <w:rPr>
          <w:rFonts w:ascii="Arial" w:eastAsia="Times New Roman" w:hAnsi="Arial" w:cs="Arial"/>
          <w:b/>
          <w:bCs/>
          <w:color w:val="666666"/>
          <w:kern w:val="0"/>
          <w:sz w:val="27"/>
          <w:szCs w:val="27"/>
          <w:lang w:eastAsia="es-UY"/>
          <w14:ligatures w14:val="none"/>
        </w:rPr>
        <w:t>La participación popular</w:t>
      </w:r>
      <w:r w:rsidRPr="005C632F">
        <w:rPr>
          <w:rFonts w:ascii="Arial" w:eastAsia="Times New Roman" w:hAnsi="Arial" w:cs="Arial"/>
          <w:color w:val="666666"/>
          <w:kern w:val="0"/>
          <w:sz w:val="27"/>
          <w:szCs w:val="27"/>
          <w:lang w:eastAsia="es-UY"/>
          <w14:ligatures w14:val="none"/>
        </w:rPr>
        <w:t> no solo garantiza una mayor </w:t>
      </w:r>
      <w:r w:rsidRPr="005C632F">
        <w:rPr>
          <w:rFonts w:ascii="Arial" w:eastAsia="Times New Roman" w:hAnsi="Arial" w:cs="Arial"/>
          <w:b/>
          <w:bCs/>
          <w:color w:val="666666"/>
          <w:kern w:val="0"/>
          <w:sz w:val="27"/>
          <w:szCs w:val="27"/>
          <w:lang w:eastAsia="es-UY"/>
          <w14:ligatures w14:val="none"/>
        </w:rPr>
        <w:t>justicia social,</w:t>
      </w:r>
      <w:r w:rsidRPr="005C632F">
        <w:rPr>
          <w:rFonts w:ascii="Arial" w:eastAsia="Times New Roman" w:hAnsi="Arial" w:cs="Arial"/>
          <w:color w:val="666666"/>
          <w:kern w:val="0"/>
          <w:sz w:val="27"/>
          <w:szCs w:val="27"/>
          <w:lang w:eastAsia="es-UY"/>
          <w14:ligatures w14:val="none"/>
        </w:rPr>
        <w:t> sino que también aumenta la eficiencia y la sostenibilidad de las obras.</w:t>
      </w:r>
    </w:p>
    <w:p w14:paraId="32583856"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IHU – Existe una promesa de “modernización de la ciudad” para la COP30 en Belém. ¿Cuáles son los riesgos de que este legado sea excluyente o refuerce las desigualdades en la ciudad?</w:t>
      </w:r>
    </w:p>
    <w:p w14:paraId="7D7610CF"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Juliano Pamplona Ximenes Ponte –</w:t>
      </w:r>
      <w:r w:rsidRPr="005C632F">
        <w:rPr>
          <w:rFonts w:ascii="Arial" w:eastAsia="Times New Roman" w:hAnsi="Arial" w:cs="Arial"/>
          <w:color w:val="666666"/>
          <w:kern w:val="0"/>
          <w:sz w:val="27"/>
          <w:szCs w:val="27"/>
          <w:lang w:eastAsia="es-UY"/>
          <w14:ligatures w14:val="none"/>
        </w:rPr>
        <w:t> Al igual que en otras modernizaciones de matriz capitalista, la observada en </w:t>
      </w:r>
      <w:r w:rsidRPr="005C632F">
        <w:rPr>
          <w:rFonts w:ascii="Arial" w:eastAsia="Times New Roman" w:hAnsi="Arial" w:cs="Arial"/>
          <w:b/>
          <w:bCs/>
          <w:color w:val="666666"/>
          <w:kern w:val="0"/>
          <w:sz w:val="27"/>
          <w:szCs w:val="27"/>
          <w:lang w:eastAsia="es-UY"/>
          <w14:ligatures w14:val="none"/>
        </w:rPr>
        <w:t>Belém</w:t>
      </w:r>
      <w:r w:rsidRPr="005C632F">
        <w:rPr>
          <w:rFonts w:ascii="Arial" w:eastAsia="Times New Roman" w:hAnsi="Arial" w:cs="Arial"/>
          <w:color w:val="666666"/>
          <w:kern w:val="0"/>
          <w:sz w:val="27"/>
          <w:szCs w:val="27"/>
          <w:lang w:eastAsia="es-UY"/>
          <w14:ligatures w14:val="none"/>
        </w:rPr>
        <w:t> tiende a profundizar las desigualdades sociales y espaciales. Los mayores beneficios recaen en las élites económicas y las grandes empresas, muchas de ellas de fuera del estado, mientras que los impactos negativos recaen en los pequeños empresarios y las poblaciones periféricas.</w:t>
      </w:r>
    </w:p>
    <w:p w14:paraId="356FBFAC"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Gran parte de la construcción se lleva a cabo en zonas privilegiadas ya valorizadas, lo que intensifica la especulación inmobiliaria en un mercado históricamente concentrado. Belém, capital de 1,3 millones de habitantes y con un área metropolitana de 2,4 millones, ha dejado de ser una ciudad mediana durante décadas. En el </w:t>
      </w:r>
      <w:r w:rsidRPr="005C632F">
        <w:rPr>
          <w:rFonts w:ascii="Arial" w:eastAsia="Times New Roman" w:hAnsi="Arial" w:cs="Arial"/>
          <w:b/>
          <w:bCs/>
          <w:color w:val="666666"/>
          <w:kern w:val="0"/>
          <w:sz w:val="27"/>
          <w:szCs w:val="27"/>
          <w:lang w:eastAsia="es-UY"/>
          <w14:ligatures w14:val="none"/>
        </w:rPr>
        <w:t>contexto de la Amazonia</w:t>
      </w:r>
      <w:r w:rsidRPr="005C632F">
        <w:rPr>
          <w:rFonts w:ascii="Arial" w:eastAsia="Times New Roman" w:hAnsi="Arial" w:cs="Arial"/>
          <w:color w:val="666666"/>
          <w:kern w:val="0"/>
          <w:sz w:val="27"/>
          <w:szCs w:val="27"/>
          <w:lang w:eastAsia="es-UY"/>
          <w14:ligatures w14:val="none"/>
        </w:rPr>
        <w:t> , es un foco de polarización de servicios públicos y privados, dada la escasez de infraestructuras similares en ciudades vecinas.</w:t>
      </w:r>
    </w:p>
    <w:p w14:paraId="1B1907AC"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La </w:t>
      </w:r>
      <w:hyperlink r:id="rId14" w:tgtFrame="_blank" w:history="1">
        <w:r w:rsidRPr="005C632F">
          <w:rPr>
            <w:rFonts w:ascii="Arial" w:eastAsia="Times New Roman" w:hAnsi="Arial" w:cs="Arial"/>
            <w:color w:val="FC6B01"/>
            <w:kern w:val="0"/>
            <w:sz w:val="27"/>
            <w:szCs w:val="27"/>
            <w:u w:val="single"/>
            <w:lang w:eastAsia="es-UY"/>
            <w14:ligatures w14:val="none"/>
          </w:rPr>
          <w:t>lógica de la tenencia del suelo</w:t>
        </w:r>
      </w:hyperlink>
      <w:r w:rsidRPr="005C632F">
        <w:rPr>
          <w:rFonts w:ascii="Arial" w:eastAsia="Times New Roman" w:hAnsi="Arial" w:cs="Arial"/>
          <w:color w:val="666666"/>
          <w:kern w:val="0"/>
          <w:sz w:val="27"/>
          <w:szCs w:val="27"/>
          <w:lang w:eastAsia="es-UY"/>
          <w14:ligatures w14:val="none"/>
        </w:rPr>
        <w:t> en la ciudad está profundamente arraigada en la concentración de tierras: alrededor de 60 familias o grupos empresariales poseen gran parte del territorio urbano, a menudo proveniente de donaciones históricas de terrenos públicos que se han convertido en activos privados de gran valor. Al no existir una competencia significativa por el suelo en la región, </w:t>
      </w:r>
      <w:r w:rsidRPr="005C632F">
        <w:rPr>
          <w:rFonts w:ascii="Arial" w:eastAsia="Times New Roman" w:hAnsi="Arial" w:cs="Arial"/>
          <w:b/>
          <w:bCs/>
          <w:color w:val="666666"/>
          <w:kern w:val="0"/>
          <w:sz w:val="27"/>
          <w:szCs w:val="27"/>
          <w:lang w:eastAsia="es-UY"/>
          <w14:ligatures w14:val="none"/>
        </w:rPr>
        <w:t>Belém</w:t>
      </w:r>
      <w:r w:rsidRPr="005C632F">
        <w:rPr>
          <w:rFonts w:ascii="Arial" w:eastAsia="Times New Roman" w:hAnsi="Arial" w:cs="Arial"/>
          <w:color w:val="666666"/>
          <w:kern w:val="0"/>
          <w:sz w:val="27"/>
          <w:szCs w:val="27"/>
          <w:lang w:eastAsia="es-UY"/>
          <w14:ligatures w14:val="none"/>
        </w:rPr>
        <w:t> se ha convertido en un mercado para obtener grandes y fáciles ganancias de terrenos urbanos.</w:t>
      </w:r>
    </w:p>
    <w:p w14:paraId="2A481153"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lastRenderedPageBreak/>
        <w:t>Esta </w:t>
      </w:r>
      <w:r w:rsidRPr="005C632F">
        <w:rPr>
          <w:rFonts w:ascii="Arial" w:eastAsia="Times New Roman" w:hAnsi="Arial" w:cs="Arial"/>
          <w:b/>
          <w:bCs/>
          <w:color w:val="666666"/>
          <w:kern w:val="0"/>
          <w:sz w:val="27"/>
          <w:szCs w:val="27"/>
          <w:lang w:eastAsia="es-UY"/>
          <w14:ligatures w14:val="none"/>
        </w:rPr>
        <w:t>concentración de tierras</w:t>
      </w:r>
      <w:r w:rsidRPr="005C632F">
        <w:rPr>
          <w:rFonts w:ascii="Arial" w:eastAsia="Times New Roman" w:hAnsi="Arial" w:cs="Arial"/>
          <w:color w:val="666666"/>
          <w:kern w:val="0"/>
          <w:sz w:val="27"/>
          <w:szCs w:val="27"/>
          <w:lang w:eastAsia="es-UY"/>
          <w14:ligatures w14:val="none"/>
        </w:rPr>
        <w:t> está directamente vinculada a la modernización excluyente. La integración de la Amazonía al resto del país durante la dictadura militar, por ejemplo, desmanteló la industria local y consolidó la región como mercado de consumo para el </w:t>
      </w:r>
      <w:r w:rsidRPr="005C632F">
        <w:rPr>
          <w:rFonts w:ascii="Arial" w:eastAsia="Times New Roman" w:hAnsi="Arial" w:cs="Arial"/>
          <w:b/>
          <w:bCs/>
          <w:color w:val="666666"/>
          <w:kern w:val="0"/>
          <w:sz w:val="27"/>
          <w:szCs w:val="27"/>
          <w:lang w:eastAsia="es-UY"/>
          <w14:ligatures w14:val="none"/>
        </w:rPr>
        <w:t>sur</w:t>
      </w:r>
      <w:r w:rsidRPr="005C632F">
        <w:rPr>
          <w:rFonts w:ascii="Arial" w:eastAsia="Times New Roman" w:hAnsi="Arial" w:cs="Arial"/>
          <w:color w:val="666666"/>
          <w:kern w:val="0"/>
          <w:sz w:val="27"/>
          <w:szCs w:val="27"/>
          <w:lang w:eastAsia="es-UY"/>
          <w14:ligatures w14:val="none"/>
        </w:rPr>
        <w:t> y </w:t>
      </w:r>
      <w:r w:rsidRPr="005C632F">
        <w:rPr>
          <w:rFonts w:ascii="Arial" w:eastAsia="Times New Roman" w:hAnsi="Arial" w:cs="Arial"/>
          <w:b/>
          <w:bCs/>
          <w:color w:val="666666"/>
          <w:kern w:val="0"/>
          <w:sz w:val="27"/>
          <w:szCs w:val="27"/>
          <w:lang w:eastAsia="es-UY"/>
          <w14:ligatures w14:val="none"/>
        </w:rPr>
        <w:t>el sureste</w:t>
      </w:r>
      <w:r w:rsidRPr="005C632F">
        <w:rPr>
          <w:rFonts w:ascii="Arial" w:eastAsia="Times New Roman" w:hAnsi="Arial" w:cs="Arial"/>
          <w:color w:val="666666"/>
          <w:kern w:val="0"/>
          <w:sz w:val="27"/>
          <w:szCs w:val="27"/>
          <w:lang w:eastAsia="es-UY"/>
          <w14:ligatures w14:val="none"/>
        </w:rPr>
        <w:t> . La falta de inversión pública consistente, sumada a las crisis económicas, acentuó el papel de </w:t>
      </w:r>
      <w:r w:rsidRPr="005C632F">
        <w:rPr>
          <w:rFonts w:ascii="Arial" w:eastAsia="Times New Roman" w:hAnsi="Arial" w:cs="Arial"/>
          <w:b/>
          <w:bCs/>
          <w:color w:val="666666"/>
          <w:kern w:val="0"/>
          <w:sz w:val="27"/>
          <w:szCs w:val="27"/>
          <w:lang w:eastAsia="es-UY"/>
          <w14:ligatures w14:val="none"/>
        </w:rPr>
        <w:t>la especulación inmobiliaria</w:t>
      </w:r>
      <w:r w:rsidRPr="005C632F">
        <w:rPr>
          <w:rFonts w:ascii="Arial" w:eastAsia="Times New Roman" w:hAnsi="Arial" w:cs="Arial"/>
          <w:color w:val="666666"/>
          <w:kern w:val="0"/>
          <w:sz w:val="27"/>
          <w:szCs w:val="27"/>
          <w:lang w:eastAsia="es-UY"/>
          <w14:ligatures w14:val="none"/>
        </w:rPr>
        <w:t> como una forma pasiva y rentista de obtener ganancias.</w:t>
      </w:r>
    </w:p>
    <w:p w14:paraId="29CD6DB4" w14:textId="77777777" w:rsid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Hoy en día, esta estructura de poder desigual, marcada por la influencia de los grupos inmobiliarios y el control político de los órganos de decisión, como </w:t>
      </w:r>
      <w:r w:rsidRPr="005C632F">
        <w:rPr>
          <w:rFonts w:ascii="Arial" w:eastAsia="Times New Roman" w:hAnsi="Arial" w:cs="Arial"/>
          <w:b/>
          <w:bCs/>
          <w:color w:val="666666"/>
          <w:kern w:val="0"/>
          <w:sz w:val="27"/>
          <w:szCs w:val="27"/>
          <w:lang w:eastAsia="es-UY"/>
          <w14:ligatures w14:val="none"/>
        </w:rPr>
        <w:t>los ayuntamientos</w:t>
      </w:r>
      <w:r w:rsidRPr="005C632F">
        <w:rPr>
          <w:rFonts w:ascii="Arial" w:eastAsia="Times New Roman" w:hAnsi="Arial" w:cs="Arial"/>
          <w:color w:val="666666"/>
          <w:kern w:val="0"/>
          <w:sz w:val="27"/>
          <w:szCs w:val="27"/>
          <w:lang w:eastAsia="es-UY"/>
          <w14:ligatures w14:val="none"/>
        </w:rPr>
        <w:t> , da lugar a una ciudad diseñada para la </w:t>
      </w:r>
      <w:r w:rsidRPr="005C632F">
        <w:rPr>
          <w:rFonts w:ascii="Arial" w:eastAsia="Times New Roman" w:hAnsi="Arial" w:cs="Arial"/>
          <w:b/>
          <w:bCs/>
          <w:color w:val="666666"/>
          <w:kern w:val="0"/>
          <w:sz w:val="27"/>
          <w:szCs w:val="27"/>
          <w:lang w:eastAsia="es-UY"/>
          <w14:ligatures w14:val="none"/>
        </w:rPr>
        <w:t>élite</w:t>
      </w:r>
      <w:r w:rsidRPr="005C632F">
        <w:rPr>
          <w:rFonts w:ascii="Arial" w:eastAsia="Times New Roman" w:hAnsi="Arial" w:cs="Arial"/>
          <w:color w:val="666666"/>
          <w:kern w:val="0"/>
          <w:sz w:val="27"/>
          <w:szCs w:val="27"/>
          <w:lang w:eastAsia="es-UY"/>
          <w14:ligatures w14:val="none"/>
        </w:rPr>
        <w:t> . Sin una planificación centrada en la inclusión y la distribución equitativa de los beneficios urbanos, el </w:t>
      </w:r>
      <w:r w:rsidRPr="005C632F">
        <w:rPr>
          <w:rFonts w:ascii="Arial" w:eastAsia="Times New Roman" w:hAnsi="Arial" w:cs="Arial"/>
          <w:b/>
          <w:bCs/>
          <w:color w:val="666666"/>
          <w:kern w:val="0"/>
          <w:sz w:val="27"/>
          <w:szCs w:val="27"/>
          <w:lang w:eastAsia="es-UY"/>
          <w14:ligatures w14:val="none"/>
        </w:rPr>
        <w:t>legado de la COP30</w:t>
      </w:r>
      <w:r w:rsidRPr="005C632F">
        <w:rPr>
          <w:rFonts w:ascii="Arial" w:eastAsia="Times New Roman" w:hAnsi="Arial" w:cs="Arial"/>
          <w:color w:val="666666"/>
          <w:kern w:val="0"/>
          <w:sz w:val="27"/>
          <w:szCs w:val="27"/>
          <w:lang w:eastAsia="es-UY"/>
          <w14:ligatures w14:val="none"/>
        </w:rPr>
        <w:t> corre el riesgo de reforzar este modelo excluyente.</w:t>
      </w:r>
    </w:p>
    <w:p w14:paraId="0751D321"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p>
    <w:p w14:paraId="48F64FFB" w14:textId="77777777" w:rsidR="005C632F" w:rsidRPr="005C632F" w:rsidRDefault="005C632F" w:rsidP="005C632F">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5C632F">
        <w:rPr>
          <w:rFonts w:ascii="Arial" w:eastAsia="Times New Roman" w:hAnsi="Arial" w:cs="Arial"/>
          <w:b/>
          <w:bCs/>
          <w:i/>
          <w:iCs/>
          <w:color w:val="BF4E14" w:themeColor="accent2" w:themeShade="BF"/>
          <w:kern w:val="0"/>
          <w:sz w:val="27"/>
          <w:szCs w:val="27"/>
          <w:lang w:eastAsia="es-UY"/>
          <w14:ligatures w14:val="none"/>
        </w:rPr>
        <w:t>La lógica del suelo de la ciudad tiene sus raíces en la concentración del suelo: alrededor de 60 familias o grupos empresariales poseen gran parte del territorio urbano – Juliano Pamplona Ximenes Ponte</w:t>
      </w:r>
    </w:p>
    <w:p w14:paraId="2C6735DD" w14:textId="7616352D" w:rsidR="005C632F" w:rsidRPr="005C632F" w:rsidRDefault="005C632F" w:rsidP="005C632F">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0E8A256C"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IHU – ¿Hasta qué punto la lógica de grandes eventos como la COP puede inducir procesos de gentrificación y desplazamiento de las poblaciones periféricas de Belém? ¿Existe algún indicio al respecto?</w:t>
      </w:r>
    </w:p>
    <w:p w14:paraId="64CA544F"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Juliano Pamplona Ximenes Ponte – </w:t>
      </w:r>
      <w:hyperlink r:id="rId15" w:tgtFrame="_blank" w:history="1">
        <w:r w:rsidRPr="005C632F">
          <w:rPr>
            <w:rFonts w:ascii="Arial" w:eastAsia="Times New Roman" w:hAnsi="Arial" w:cs="Arial"/>
            <w:color w:val="FC6B01"/>
            <w:kern w:val="0"/>
            <w:sz w:val="27"/>
            <w:szCs w:val="27"/>
            <w:u w:val="single"/>
            <w:lang w:eastAsia="es-UY"/>
            <w14:ligatures w14:val="none"/>
          </w:rPr>
          <w:t>Los megaeventos</w:t>
        </w:r>
      </w:hyperlink>
      <w:r w:rsidRPr="005C632F">
        <w:rPr>
          <w:rFonts w:ascii="Arial" w:eastAsia="Times New Roman" w:hAnsi="Arial" w:cs="Arial"/>
          <w:color w:val="666666"/>
          <w:kern w:val="0"/>
          <w:sz w:val="27"/>
          <w:szCs w:val="27"/>
          <w:lang w:eastAsia="es-UY"/>
          <w14:ligatures w14:val="none"/>
        </w:rPr>
        <w:t> como la </w:t>
      </w:r>
      <w:r w:rsidRPr="005C632F">
        <w:rPr>
          <w:rFonts w:ascii="Arial" w:eastAsia="Times New Roman" w:hAnsi="Arial" w:cs="Arial"/>
          <w:b/>
          <w:bCs/>
          <w:color w:val="666666"/>
          <w:kern w:val="0"/>
          <w:sz w:val="27"/>
          <w:szCs w:val="27"/>
          <w:lang w:eastAsia="es-UY"/>
          <w14:ligatures w14:val="none"/>
        </w:rPr>
        <w:t>COP</w:t>
      </w:r>
      <w:r w:rsidRPr="005C632F">
        <w:rPr>
          <w:rFonts w:ascii="Arial" w:eastAsia="Times New Roman" w:hAnsi="Arial" w:cs="Arial"/>
          <w:color w:val="666666"/>
          <w:kern w:val="0"/>
          <w:sz w:val="27"/>
          <w:szCs w:val="27"/>
          <w:lang w:eastAsia="es-UY"/>
          <w14:ligatures w14:val="none"/>
        </w:rPr>
        <w:t> suelen seguir un patrón: inyección masiva de recursos públicos, obras enfocadas en la creación de corredores visuales de prosperidad y modernidad, y la recalificación de los servicios para cumplir con los estándares internacionales. Esto incluye desde la capacitación en sectores como la hotelería y el transporte hasta la expansión de la oferta de alojamiento, a menudo explorada por redes y plataformas privadas, como </w:t>
      </w:r>
      <w:r w:rsidRPr="005C632F">
        <w:rPr>
          <w:rFonts w:ascii="Arial" w:eastAsia="Times New Roman" w:hAnsi="Arial" w:cs="Arial"/>
          <w:b/>
          <w:bCs/>
          <w:color w:val="666666"/>
          <w:kern w:val="0"/>
          <w:sz w:val="27"/>
          <w:szCs w:val="27"/>
          <w:lang w:eastAsia="es-UY"/>
          <w14:ligatures w14:val="none"/>
        </w:rPr>
        <w:t>ReMAX</w:t>
      </w:r>
      <w:r w:rsidRPr="005C632F">
        <w:rPr>
          <w:rFonts w:ascii="Arial" w:eastAsia="Times New Roman" w:hAnsi="Arial" w:cs="Arial"/>
          <w:color w:val="666666"/>
          <w:kern w:val="0"/>
          <w:sz w:val="27"/>
          <w:szCs w:val="27"/>
          <w:lang w:eastAsia="es-UY"/>
          <w14:ligatures w14:val="none"/>
        </w:rPr>
        <w:t> .</w:t>
      </w:r>
    </w:p>
    <w:p w14:paraId="41113DC1"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Estas estrategias crean una ciudad temporal, higienizada, segura y visualmente atractiva, pero artificial. Se trata de </w:t>
      </w:r>
      <w:r w:rsidRPr="005C632F">
        <w:rPr>
          <w:rFonts w:ascii="Arial" w:eastAsia="Times New Roman" w:hAnsi="Arial" w:cs="Arial"/>
          <w:b/>
          <w:bCs/>
          <w:color w:val="666666"/>
          <w:kern w:val="0"/>
          <w:sz w:val="27"/>
          <w:szCs w:val="27"/>
          <w:lang w:eastAsia="es-UY"/>
          <w14:ligatures w14:val="none"/>
        </w:rPr>
        <w:t>la gentrificación clásica</w:t>
      </w:r>
      <w:r w:rsidRPr="005C632F">
        <w:rPr>
          <w:rFonts w:ascii="Arial" w:eastAsia="Times New Roman" w:hAnsi="Arial" w:cs="Arial"/>
          <w:color w:val="666666"/>
          <w:kern w:val="0"/>
          <w:sz w:val="27"/>
          <w:szCs w:val="27"/>
          <w:lang w:eastAsia="es-UY"/>
          <w14:ligatures w14:val="none"/>
        </w:rPr>
        <w:t> , que transforma zonas de interés histórico y cultural, especialmente los centros urbanos, expulsando a las poblaciones de bajos ingresos. Esto comienza con la llegada del comercio y los servicios, y a menudo es impulsado por artistas que ocupan propiedades deterioradas, lo que revaloriza estas zonas.</w:t>
      </w:r>
    </w:p>
    <w:p w14:paraId="4D7AF3E6"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Belém</w:t>
      </w:r>
      <w:r w:rsidRPr="005C632F">
        <w:rPr>
          <w:rFonts w:ascii="Arial" w:eastAsia="Times New Roman" w:hAnsi="Arial" w:cs="Arial"/>
          <w:color w:val="666666"/>
          <w:kern w:val="0"/>
          <w:sz w:val="27"/>
          <w:szCs w:val="27"/>
          <w:lang w:eastAsia="es-UY"/>
          <w14:ligatures w14:val="none"/>
        </w:rPr>
        <w:t> ya ha experimentado procesos similares con programas como </w:t>
      </w:r>
      <w:r w:rsidRPr="005C632F">
        <w:rPr>
          <w:rFonts w:ascii="Arial" w:eastAsia="Times New Roman" w:hAnsi="Arial" w:cs="Arial"/>
          <w:b/>
          <w:bCs/>
          <w:color w:val="666666"/>
          <w:kern w:val="0"/>
          <w:sz w:val="27"/>
          <w:szCs w:val="27"/>
          <w:lang w:eastAsia="es-UY"/>
          <w14:ligatures w14:val="none"/>
        </w:rPr>
        <w:t>Monumenta-BID</w:t>
      </w:r>
      <w:r w:rsidRPr="005C632F">
        <w:rPr>
          <w:rFonts w:ascii="Arial" w:eastAsia="Times New Roman" w:hAnsi="Arial" w:cs="Arial"/>
          <w:color w:val="666666"/>
          <w:kern w:val="0"/>
          <w:sz w:val="27"/>
          <w:szCs w:val="27"/>
          <w:lang w:eastAsia="es-UY"/>
          <w14:ligatures w14:val="none"/>
        </w:rPr>
        <w:t> , </w:t>
      </w:r>
      <w:r w:rsidRPr="005C632F">
        <w:rPr>
          <w:rFonts w:ascii="Arial" w:eastAsia="Times New Roman" w:hAnsi="Arial" w:cs="Arial"/>
          <w:b/>
          <w:bCs/>
          <w:color w:val="666666"/>
          <w:kern w:val="0"/>
          <w:sz w:val="27"/>
          <w:szCs w:val="27"/>
          <w:lang w:eastAsia="es-UY"/>
          <w14:ligatures w14:val="none"/>
        </w:rPr>
        <w:t>PAC Ciudades Históricas</w:t>
      </w:r>
      <w:r w:rsidRPr="005C632F">
        <w:rPr>
          <w:rFonts w:ascii="Arial" w:eastAsia="Times New Roman" w:hAnsi="Arial" w:cs="Arial"/>
          <w:color w:val="666666"/>
          <w:kern w:val="0"/>
          <w:sz w:val="27"/>
          <w:szCs w:val="27"/>
          <w:lang w:eastAsia="es-UY"/>
          <w14:ligatures w14:val="none"/>
        </w:rPr>
        <w:t> y el </w:t>
      </w:r>
      <w:hyperlink r:id="rId16" w:tgtFrame="_blank" w:history="1">
        <w:r w:rsidRPr="005C632F">
          <w:rPr>
            <w:rFonts w:ascii="Arial" w:eastAsia="Times New Roman" w:hAnsi="Arial" w:cs="Arial"/>
            <w:color w:val="FC6B01"/>
            <w:kern w:val="0"/>
            <w:sz w:val="27"/>
            <w:szCs w:val="27"/>
            <w:u w:val="single"/>
            <w:lang w:eastAsia="es-UY"/>
            <w14:ligatures w14:val="none"/>
          </w:rPr>
          <w:t>FSM</w:t>
        </w:r>
      </w:hyperlink>
      <w:r w:rsidRPr="005C632F">
        <w:rPr>
          <w:rFonts w:ascii="Arial" w:eastAsia="Times New Roman" w:hAnsi="Arial" w:cs="Arial"/>
          <w:color w:val="666666"/>
          <w:kern w:val="0"/>
          <w:sz w:val="27"/>
          <w:szCs w:val="27"/>
          <w:lang w:eastAsia="es-UY"/>
          <w14:ligatures w14:val="none"/>
        </w:rPr>
        <w:t>  de 2009. El Centro Histórico de la ciudad, por ejemplo, comenzó a registrar una constante revalorización inmobiliaria y una rotación de residentes, con la salida de artistas y la población de bajos recursos. El </w:t>
      </w:r>
      <w:r w:rsidRPr="005C632F">
        <w:rPr>
          <w:rFonts w:ascii="Arial" w:eastAsia="Times New Roman" w:hAnsi="Arial" w:cs="Arial"/>
          <w:b/>
          <w:bCs/>
          <w:color w:val="666666"/>
          <w:kern w:val="0"/>
          <w:sz w:val="27"/>
          <w:szCs w:val="27"/>
          <w:lang w:eastAsia="es-UY"/>
          <w14:ligatures w14:val="none"/>
        </w:rPr>
        <w:t xml:space="preserve">Plan de </w:t>
      </w:r>
      <w:r w:rsidRPr="005C632F">
        <w:rPr>
          <w:rFonts w:ascii="Arial" w:eastAsia="Times New Roman" w:hAnsi="Arial" w:cs="Arial"/>
          <w:b/>
          <w:bCs/>
          <w:color w:val="666666"/>
          <w:kern w:val="0"/>
          <w:sz w:val="27"/>
          <w:szCs w:val="27"/>
          <w:lang w:eastAsia="es-UY"/>
          <w14:ligatures w14:val="none"/>
        </w:rPr>
        <w:lastRenderedPageBreak/>
        <w:t>Valorización del Ayuntamiento</w:t>
      </w:r>
      <w:r w:rsidRPr="005C632F">
        <w:rPr>
          <w:rFonts w:ascii="Arial" w:eastAsia="Times New Roman" w:hAnsi="Arial" w:cs="Arial"/>
          <w:color w:val="666666"/>
          <w:kern w:val="0"/>
          <w:sz w:val="27"/>
          <w:szCs w:val="27"/>
          <w:lang w:eastAsia="es-UY"/>
          <w14:ligatures w14:val="none"/>
        </w:rPr>
        <w:t> confirma que estas zonas se encuentran entre las más caras de la ciudad.</w:t>
      </w:r>
    </w:p>
    <w:p w14:paraId="00EB8FC8"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Por lo tanto, el proceso de gentrificación en </w:t>
      </w:r>
      <w:r w:rsidRPr="005C632F">
        <w:rPr>
          <w:rFonts w:ascii="Arial" w:eastAsia="Times New Roman" w:hAnsi="Arial" w:cs="Arial"/>
          <w:b/>
          <w:bCs/>
          <w:color w:val="666666"/>
          <w:kern w:val="0"/>
          <w:sz w:val="27"/>
          <w:szCs w:val="27"/>
          <w:lang w:eastAsia="es-UY"/>
          <w14:ligatures w14:val="none"/>
        </w:rPr>
        <w:t>Belém</w:t>
      </w:r>
      <w:r w:rsidRPr="005C632F">
        <w:rPr>
          <w:rFonts w:ascii="Arial" w:eastAsia="Times New Roman" w:hAnsi="Arial" w:cs="Arial"/>
          <w:color w:val="666666"/>
          <w:kern w:val="0"/>
          <w:sz w:val="27"/>
          <w:szCs w:val="27"/>
          <w:lang w:eastAsia="es-UY"/>
          <w14:ligatures w14:val="none"/>
        </w:rPr>
        <w:t> no es nuevo, pero se está intensificando con las inversiones </w:t>
      </w:r>
      <w:r w:rsidRPr="005C632F">
        <w:rPr>
          <w:rFonts w:ascii="Arial" w:eastAsia="Times New Roman" w:hAnsi="Arial" w:cs="Arial"/>
          <w:b/>
          <w:bCs/>
          <w:color w:val="666666"/>
          <w:kern w:val="0"/>
          <w:sz w:val="27"/>
          <w:szCs w:val="27"/>
          <w:lang w:eastAsia="es-UY"/>
          <w14:ligatures w14:val="none"/>
        </w:rPr>
        <w:t>de la COP30</w:t>
      </w:r>
      <w:r w:rsidRPr="005C632F">
        <w:rPr>
          <w:rFonts w:ascii="Arial" w:eastAsia="Times New Roman" w:hAnsi="Arial" w:cs="Arial"/>
          <w:color w:val="666666"/>
          <w:kern w:val="0"/>
          <w:sz w:val="27"/>
          <w:szCs w:val="27"/>
          <w:lang w:eastAsia="es-UY"/>
          <w14:ligatures w14:val="none"/>
        </w:rPr>
        <w:t> , especialmente en proyectos con un perfil que concentra beneficios y es regresivo desde el punto de vista social.</w:t>
      </w:r>
    </w:p>
    <w:p w14:paraId="67F79B3C"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IHU – ¿Existe evidencia de que las poblaciones tradicionales, indígenas o ribereñas se estén viendo afectadas por estas intervenciones? ¿De qué manera?</w:t>
      </w:r>
    </w:p>
    <w:p w14:paraId="210B33C0"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Juliano Pamplona Ximenes Ponte –</w:t>
      </w:r>
      <w:r w:rsidRPr="005C632F">
        <w:rPr>
          <w:rFonts w:ascii="Arial" w:eastAsia="Times New Roman" w:hAnsi="Arial" w:cs="Arial"/>
          <w:color w:val="666666"/>
          <w:kern w:val="0"/>
          <w:sz w:val="27"/>
          <w:szCs w:val="27"/>
          <w:lang w:eastAsia="es-UY"/>
          <w14:ligatures w14:val="none"/>
        </w:rPr>
        <w:t> Sí, aunque los impactos aún se encuentran en su fase inicial, hay dos casos más evidentes. El primero se refiere a las obras en los </w:t>
      </w:r>
      <w:r w:rsidRPr="005C632F">
        <w:rPr>
          <w:rFonts w:ascii="Arial" w:eastAsia="Times New Roman" w:hAnsi="Arial" w:cs="Arial"/>
          <w:b/>
          <w:bCs/>
          <w:color w:val="666666"/>
          <w:kern w:val="0"/>
          <w:sz w:val="27"/>
          <w:szCs w:val="27"/>
          <w:lang w:eastAsia="es-UY"/>
          <w14:ligatures w14:val="none"/>
        </w:rPr>
        <w:t>lagos</w:t>
      </w:r>
      <w:r w:rsidRPr="005C632F">
        <w:rPr>
          <w:rFonts w:ascii="Arial" w:eastAsia="Times New Roman" w:hAnsi="Arial" w:cs="Arial"/>
          <w:color w:val="666666"/>
          <w:kern w:val="0"/>
          <w:sz w:val="27"/>
          <w:szCs w:val="27"/>
          <w:lang w:eastAsia="es-UY"/>
          <w14:ligatures w14:val="none"/>
        </w:rPr>
        <w:t> Bolonha y </w:t>
      </w:r>
      <w:r w:rsidRPr="005C632F">
        <w:rPr>
          <w:rFonts w:ascii="Arial" w:eastAsia="Times New Roman" w:hAnsi="Arial" w:cs="Arial"/>
          <w:b/>
          <w:bCs/>
          <w:color w:val="666666"/>
          <w:kern w:val="0"/>
          <w:sz w:val="27"/>
          <w:szCs w:val="27"/>
          <w:lang w:eastAsia="es-UY"/>
          <w14:ligatures w14:val="none"/>
        </w:rPr>
        <w:t>Água Preta</w:t>
      </w:r>
      <w:r w:rsidRPr="005C632F">
        <w:rPr>
          <w:rFonts w:ascii="Arial" w:eastAsia="Times New Roman" w:hAnsi="Arial" w:cs="Arial"/>
          <w:color w:val="666666"/>
          <w:kern w:val="0"/>
          <w:sz w:val="27"/>
          <w:szCs w:val="27"/>
          <w:lang w:eastAsia="es-UY"/>
          <w14:ligatures w14:val="none"/>
        </w:rPr>
        <w:t> , dentro del </w:t>
      </w:r>
      <w:r w:rsidRPr="005C632F">
        <w:rPr>
          <w:rFonts w:ascii="Arial" w:eastAsia="Times New Roman" w:hAnsi="Arial" w:cs="Arial"/>
          <w:b/>
          <w:bCs/>
          <w:color w:val="666666"/>
          <w:kern w:val="0"/>
          <w:sz w:val="27"/>
          <w:szCs w:val="27"/>
          <w:lang w:eastAsia="es-UY"/>
          <w14:ligatures w14:val="none"/>
        </w:rPr>
        <w:t>Parque Urbano de Utinga</w:t>
      </w:r>
      <w:r w:rsidRPr="005C632F">
        <w:rPr>
          <w:rFonts w:ascii="Arial" w:eastAsia="Times New Roman" w:hAnsi="Arial" w:cs="Arial"/>
          <w:color w:val="666666"/>
          <w:kern w:val="0"/>
          <w:sz w:val="27"/>
          <w:szCs w:val="27"/>
          <w:lang w:eastAsia="es-UY"/>
          <w14:ligatures w14:val="none"/>
        </w:rPr>
        <w:t> , al este de la ciudad, una zona sensible de importancia ecológica. El segundo se relaciona con las intervenciones viales que conectan con la carretera </w:t>
      </w:r>
      <w:r w:rsidRPr="005C632F">
        <w:rPr>
          <w:rFonts w:ascii="Arial" w:eastAsia="Times New Roman" w:hAnsi="Arial" w:cs="Arial"/>
          <w:b/>
          <w:bCs/>
          <w:color w:val="666666"/>
          <w:kern w:val="0"/>
          <w:sz w:val="27"/>
          <w:szCs w:val="27"/>
          <w:lang w:eastAsia="es-UY"/>
          <w14:ligatures w14:val="none"/>
        </w:rPr>
        <w:t>BR-316</w:t>
      </w:r>
      <w:r w:rsidRPr="005C632F">
        <w:rPr>
          <w:rFonts w:ascii="Arial" w:eastAsia="Times New Roman" w:hAnsi="Arial" w:cs="Arial"/>
          <w:color w:val="666666"/>
          <w:kern w:val="0"/>
          <w:sz w:val="27"/>
          <w:szCs w:val="27"/>
          <w:lang w:eastAsia="es-UY"/>
          <w14:ligatures w14:val="none"/>
        </w:rPr>
        <w:t> y los sistemas urbanos de </w:t>
      </w:r>
      <w:r w:rsidRPr="005C632F">
        <w:rPr>
          <w:rFonts w:ascii="Arial" w:eastAsia="Times New Roman" w:hAnsi="Arial" w:cs="Arial"/>
          <w:b/>
          <w:bCs/>
          <w:color w:val="666666"/>
          <w:kern w:val="0"/>
          <w:sz w:val="27"/>
          <w:szCs w:val="27"/>
          <w:lang w:eastAsia="es-UY"/>
          <w14:ligatures w14:val="none"/>
        </w:rPr>
        <w:t>Belém</w:t>
      </w:r>
      <w:r w:rsidRPr="005C632F">
        <w:rPr>
          <w:rFonts w:ascii="Arial" w:eastAsia="Times New Roman" w:hAnsi="Arial" w:cs="Arial"/>
          <w:color w:val="666666"/>
          <w:kern w:val="0"/>
          <w:sz w:val="27"/>
          <w:szCs w:val="27"/>
          <w:lang w:eastAsia="es-UY"/>
          <w14:ligatures w14:val="none"/>
        </w:rPr>
        <w:t> , </w:t>
      </w:r>
      <w:r w:rsidRPr="005C632F">
        <w:rPr>
          <w:rFonts w:ascii="Arial" w:eastAsia="Times New Roman" w:hAnsi="Arial" w:cs="Arial"/>
          <w:b/>
          <w:bCs/>
          <w:color w:val="666666"/>
          <w:kern w:val="0"/>
          <w:sz w:val="27"/>
          <w:szCs w:val="27"/>
          <w:lang w:eastAsia="es-UY"/>
          <w14:ligatures w14:val="none"/>
        </w:rPr>
        <w:t>Ananindeua</w:t>
      </w:r>
      <w:r w:rsidRPr="005C632F">
        <w:rPr>
          <w:rFonts w:ascii="Arial" w:eastAsia="Times New Roman" w:hAnsi="Arial" w:cs="Arial"/>
          <w:color w:val="666666"/>
          <w:kern w:val="0"/>
          <w:sz w:val="27"/>
          <w:szCs w:val="27"/>
          <w:lang w:eastAsia="es-UY"/>
          <w14:ligatures w14:val="none"/>
        </w:rPr>
        <w:t> y </w:t>
      </w:r>
      <w:r w:rsidRPr="005C632F">
        <w:rPr>
          <w:rFonts w:ascii="Arial" w:eastAsia="Times New Roman" w:hAnsi="Arial" w:cs="Arial"/>
          <w:b/>
          <w:bCs/>
          <w:color w:val="666666"/>
          <w:kern w:val="0"/>
          <w:sz w:val="27"/>
          <w:szCs w:val="27"/>
          <w:lang w:eastAsia="es-UY"/>
          <w14:ligatures w14:val="none"/>
        </w:rPr>
        <w:t>Marituba</w:t>
      </w:r>
      <w:r w:rsidRPr="005C632F">
        <w:rPr>
          <w:rFonts w:ascii="Arial" w:eastAsia="Times New Roman" w:hAnsi="Arial" w:cs="Arial"/>
          <w:color w:val="666666"/>
          <w:kern w:val="0"/>
          <w:sz w:val="27"/>
          <w:szCs w:val="27"/>
          <w:lang w:eastAsia="es-UY"/>
          <w14:ligatures w14:val="none"/>
        </w:rPr>
        <w:t> .</w:t>
      </w:r>
    </w:p>
    <w:p w14:paraId="45CD21B8" w14:textId="77777777" w:rsid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Estas obras afectan a las comunidades ribereñas y quilombolas, no solo en términos ambientales, sino también en términos de tenencia de la tierra y socioeconómicos, incrementando </w:t>
      </w:r>
      <w:r w:rsidRPr="005C632F">
        <w:rPr>
          <w:rFonts w:ascii="Arial" w:eastAsia="Times New Roman" w:hAnsi="Arial" w:cs="Arial"/>
          <w:b/>
          <w:bCs/>
          <w:color w:val="666666"/>
          <w:kern w:val="0"/>
          <w:sz w:val="27"/>
          <w:szCs w:val="27"/>
          <w:lang w:eastAsia="es-UY"/>
          <w14:ligatures w14:val="none"/>
        </w:rPr>
        <w:t>el valor de la tierra</w:t>
      </w:r>
      <w:r w:rsidRPr="005C632F">
        <w:rPr>
          <w:rFonts w:ascii="Arial" w:eastAsia="Times New Roman" w:hAnsi="Arial" w:cs="Arial"/>
          <w:color w:val="666666"/>
          <w:kern w:val="0"/>
          <w:sz w:val="27"/>
          <w:szCs w:val="27"/>
          <w:lang w:eastAsia="es-UY"/>
          <w14:ligatures w14:val="none"/>
        </w:rPr>
        <w:t> y modificando su uso. Esto genera presiones directas e indirectas sobre los modos de vida tradicionales, comprometiendo la permanencia, el territorio y los derechos de estas poblaciones.</w:t>
      </w:r>
    </w:p>
    <w:p w14:paraId="2EBBCF8E"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p>
    <w:p w14:paraId="699368EE" w14:textId="77777777" w:rsidR="005C632F" w:rsidRPr="005C632F" w:rsidRDefault="005C632F" w:rsidP="005C632F">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5C632F">
        <w:rPr>
          <w:rFonts w:ascii="Arial" w:eastAsia="Times New Roman" w:hAnsi="Arial" w:cs="Arial"/>
          <w:b/>
          <w:bCs/>
          <w:i/>
          <w:iCs/>
          <w:color w:val="BF4E14" w:themeColor="accent2" w:themeShade="BF"/>
          <w:kern w:val="0"/>
          <w:sz w:val="27"/>
          <w:szCs w:val="27"/>
          <w:lang w:eastAsia="es-UY"/>
          <w14:ligatures w14:val="none"/>
        </w:rPr>
        <w:t>El problema principal radica en lo que ya señaló Ailton Krenak: los congresos medioambientales acaban dominados por la lógica empresarial – Juliano Pamplona Ximenes Ponte</w:t>
      </w:r>
    </w:p>
    <w:p w14:paraId="572D718A" w14:textId="4890253C" w:rsidR="005C632F" w:rsidRPr="005C632F" w:rsidRDefault="005C632F" w:rsidP="005C632F">
      <w:pPr>
        <w:spacing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05699760"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IHU – La COP30 podría reforzar el </w:t>
      </w:r>
      <w:hyperlink r:id="rId17" w:tgtFrame="_blank" w:history="1">
        <w:r w:rsidRPr="005C632F">
          <w:rPr>
            <w:rFonts w:ascii="Arial" w:eastAsia="Times New Roman" w:hAnsi="Arial" w:cs="Arial"/>
            <w:b/>
            <w:bCs/>
            <w:color w:val="FC6B01"/>
            <w:kern w:val="0"/>
            <w:sz w:val="27"/>
            <w:szCs w:val="27"/>
            <w:u w:val="single"/>
            <w:lang w:eastAsia="es-UY"/>
            <w14:ligatures w14:val="none"/>
          </w:rPr>
          <w:t>liderazgo de la Amazonía en las agendas del cambio climático</w:t>
        </w:r>
      </w:hyperlink>
      <w:r w:rsidRPr="005C632F">
        <w:rPr>
          <w:rFonts w:ascii="Arial" w:eastAsia="Times New Roman" w:hAnsi="Arial" w:cs="Arial"/>
          <w:b/>
          <w:bCs/>
          <w:color w:val="666666"/>
          <w:kern w:val="0"/>
          <w:sz w:val="27"/>
          <w:szCs w:val="27"/>
          <w:lang w:eastAsia="es-UY"/>
          <w14:ligatures w14:val="none"/>
        </w:rPr>
        <w:t> , pero existe el riesgo de instrumentalización política y económica de la región. ¿Cómo cree que es posible equilibrar la visibilidad internacional y la autonomía local?</w:t>
      </w:r>
    </w:p>
    <w:p w14:paraId="3EE0E1FE"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Juliano Pamplona Ximenes Ponte –</w:t>
      </w:r>
      <w:r w:rsidRPr="005C632F">
        <w:rPr>
          <w:rFonts w:ascii="Arial" w:eastAsia="Times New Roman" w:hAnsi="Arial" w:cs="Arial"/>
          <w:color w:val="666666"/>
          <w:kern w:val="0"/>
          <w:sz w:val="27"/>
          <w:szCs w:val="27"/>
          <w:lang w:eastAsia="es-UY"/>
          <w14:ligatures w14:val="none"/>
        </w:rPr>
        <w:t> El principal problema radica en lo que ya señaló </w:t>
      </w:r>
      <w:hyperlink r:id="rId18" w:tgtFrame="_blank" w:history="1">
        <w:r w:rsidRPr="005C632F">
          <w:rPr>
            <w:rFonts w:ascii="Arial" w:eastAsia="Times New Roman" w:hAnsi="Arial" w:cs="Arial"/>
            <w:color w:val="FC6B01"/>
            <w:kern w:val="0"/>
            <w:sz w:val="27"/>
            <w:szCs w:val="27"/>
            <w:u w:val="single"/>
            <w:lang w:eastAsia="es-UY"/>
            <w14:ligatures w14:val="none"/>
          </w:rPr>
          <w:t>Ailton Krenak : las conferencias ambientales, como </w:t>
        </w:r>
      </w:hyperlink>
      <w:r w:rsidRPr="005C632F">
        <w:rPr>
          <w:rFonts w:ascii="Arial" w:eastAsia="Times New Roman" w:hAnsi="Arial" w:cs="Arial"/>
          <w:b/>
          <w:bCs/>
          <w:color w:val="666666"/>
          <w:kern w:val="0"/>
          <w:sz w:val="27"/>
          <w:szCs w:val="27"/>
          <w:lang w:eastAsia="es-UY"/>
          <w14:ligatures w14:val="none"/>
        </w:rPr>
        <w:t>la COP</w:t>
      </w:r>
      <w:r w:rsidRPr="005C632F">
        <w:rPr>
          <w:rFonts w:ascii="Arial" w:eastAsia="Times New Roman" w:hAnsi="Arial" w:cs="Arial"/>
          <w:color w:val="666666"/>
          <w:kern w:val="0"/>
          <w:sz w:val="27"/>
          <w:szCs w:val="27"/>
          <w:lang w:eastAsia="es-UY"/>
          <w14:ligatures w14:val="none"/>
        </w:rPr>
        <w:t> , terminan dominadas por la lógica empresarial, no necesariamente en cuanto al número de participantes, sino en el contenido de las agendas. Son, en esencia, negocios, con una visión fría y reduccionista de la economía capitalista, a menudo insensible e incluso autoritaria.</w:t>
      </w:r>
    </w:p>
    <w:p w14:paraId="544A95E1"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Ejemplos de ello son los discursos y acciones inmediatas, como los compromisos </w:t>
      </w:r>
      <w:r w:rsidRPr="005C632F">
        <w:rPr>
          <w:rFonts w:ascii="Arial" w:eastAsia="Times New Roman" w:hAnsi="Arial" w:cs="Arial"/>
          <w:b/>
          <w:bCs/>
          <w:color w:val="666666"/>
          <w:kern w:val="0"/>
          <w:sz w:val="27"/>
          <w:szCs w:val="27"/>
          <w:lang w:eastAsia="es-UY"/>
          <w14:ligatures w14:val="none"/>
        </w:rPr>
        <w:t>de descarbonización</w:t>
      </w:r>
      <w:r w:rsidRPr="005C632F">
        <w:rPr>
          <w:rFonts w:ascii="Arial" w:eastAsia="Times New Roman" w:hAnsi="Arial" w:cs="Arial"/>
          <w:color w:val="666666"/>
          <w:kern w:val="0"/>
          <w:sz w:val="27"/>
          <w:szCs w:val="27"/>
          <w:lang w:eastAsia="es-UY"/>
          <w14:ligatures w14:val="none"/>
        </w:rPr>
        <w:t> . Países como </w:t>
      </w:r>
      <w:r w:rsidRPr="005C632F">
        <w:rPr>
          <w:rFonts w:ascii="Arial" w:eastAsia="Times New Roman" w:hAnsi="Arial" w:cs="Arial"/>
          <w:b/>
          <w:bCs/>
          <w:color w:val="666666"/>
          <w:kern w:val="0"/>
          <w:sz w:val="27"/>
          <w:szCs w:val="27"/>
          <w:lang w:eastAsia="es-UY"/>
          <w14:ligatures w14:val="none"/>
        </w:rPr>
        <w:t>Noruega</w:t>
      </w:r>
      <w:r w:rsidRPr="005C632F">
        <w:rPr>
          <w:rFonts w:ascii="Arial" w:eastAsia="Times New Roman" w:hAnsi="Arial" w:cs="Arial"/>
          <w:color w:val="666666"/>
          <w:kern w:val="0"/>
          <w:sz w:val="27"/>
          <w:szCs w:val="27"/>
          <w:lang w:eastAsia="es-UY"/>
          <w14:ligatures w14:val="none"/>
        </w:rPr>
        <w:t xml:space="preserve"> prometen descarbonizarse internamente, pero mantienen un comercio exterior basado en un transporte altamente contaminante y siguen causando </w:t>
      </w:r>
      <w:r w:rsidRPr="005C632F">
        <w:rPr>
          <w:rFonts w:ascii="Arial" w:eastAsia="Times New Roman" w:hAnsi="Arial" w:cs="Arial"/>
          <w:color w:val="666666"/>
          <w:kern w:val="0"/>
          <w:sz w:val="27"/>
          <w:szCs w:val="27"/>
          <w:lang w:eastAsia="es-UY"/>
          <w14:ligatures w14:val="none"/>
        </w:rPr>
        <w:lastRenderedPageBreak/>
        <w:t>impactos ambientales en países como </w:t>
      </w:r>
      <w:r w:rsidRPr="005C632F">
        <w:rPr>
          <w:rFonts w:ascii="Arial" w:eastAsia="Times New Roman" w:hAnsi="Arial" w:cs="Arial"/>
          <w:b/>
          <w:bCs/>
          <w:color w:val="666666"/>
          <w:kern w:val="0"/>
          <w:sz w:val="27"/>
          <w:szCs w:val="27"/>
          <w:lang w:eastAsia="es-UY"/>
          <w14:ligatures w14:val="none"/>
        </w:rPr>
        <w:t>Brasil</w:t>
      </w:r>
      <w:r w:rsidRPr="005C632F">
        <w:rPr>
          <w:rFonts w:ascii="Arial" w:eastAsia="Times New Roman" w:hAnsi="Arial" w:cs="Arial"/>
          <w:color w:val="666666"/>
          <w:kern w:val="0"/>
          <w:sz w:val="27"/>
          <w:szCs w:val="27"/>
          <w:lang w:eastAsia="es-UY"/>
          <w14:ligatures w14:val="none"/>
        </w:rPr>
        <w:t> , como en el caso de </w:t>
      </w:r>
      <w:hyperlink r:id="rId19" w:tgtFrame="_blank" w:history="1">
        <w:r w:rsidRPr="005C632F">
          <w:rPr>
            <w:rFonts w:ascii="Arial" w:eastAsia="Times New Roman" w:hAnsi="Arial" w:cs="Arial"/>
            <w:color w:val="FC6B01"/>
            <w:kern w:val="0"/>
            <w:sz w:val="27"/>
            <w:szCs w:val="27"/>
            <w:u w:val="single"/>
            <w:lang w:eastAsia="es-UY"/>
            <w14:ligatures w14:val="none"/>
          </w:rPr>
          <w:t>Barcarena</w:t>
        </w:r>
      </w:hyperlink>
      <w:r w:rsidRPr="005C632F">
        <w:rPr>
          <w:rFonts w:ascii="Arial" w:eastAsia="Times New Roman" w:hAnsi="Arial" w:cs="Arial"/>
          <w:color w:val="666666"/>
          <w:kern w:val="0"/>
          <w:sz w:val="27"/>
          <w:szCs w:val="27"/>
          <w:lang w:eastAsia="es-UY"/>
          <w14:ligatures w14:val="none"/>
        </w:rPr>
        <w:t> , en </w:t>
      </w:r>
      <w:r w:rsidRPr="005C632F">
        <w:rPr>
          <w:rFonts w:ascii="Arial" w:eastAsia="Times New Roman" w:hAnsi="Arial" w:cs="Arial"/>
          <w:b/>
          <w:bCs/>
          <w:color w:val="666666"/>
          <w:kern w:val="0"/>
          <w:sz w:val="27"/>
          <w:szCs w:val="27"/>
          <w:lang w:eastAsia="es-UY"/>
          <w14:ligatures w14:val="none"/>
        </w:rPr>
        <w:t>Pará</w:t>
      </w:r>
      <w:r w:rsidRPr="005C632F">
        <w:rPr>
          <w:rFonts w:ascii="Arial" w:eastAsia="Times New Roman" w:hAnsi="Arial" w:cs="Arial"/>
          <w:color w:val="666666"/>
          <w:kern w:val="0"/>
          <w:sz w:val="27"/>
          <w:szCs w:val="27"/>
          <w:lang w:eastAsia="es-UY"/>
          <w14:ligatures w14:val="none"/>
        </w:rPr>
        <w:t> .</w:t>
      </w:r>
    </w:p>
    <w:p w14:paraId="4C64B2F4"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La </w:t>
      </w:r>
      <w:r w:rsidRPr="005C632F">
        <w:rPr>
          <w:rFonts w:ascii="Arial" w:eastAsia="Times New Roman" w:hAnsi="Arial" w:cs="Arial"/>
          <w:b/>
          <w:bCs/>
          <w:color w:val="666666"/>
          <w:kern w:val="0"/>
          <w:sz w:val="27"/>
          <w:szCs w:val="27"/>
          <w:lang w:eastAsia="es-UY"/>
          <w14:ligatures w14:val="none"/>
        </w:rPr>
        <w:t>Amazonía</w:t>
      </w:r>
      <w:r w:rsidRPr="005C632F">
        <w:rPr>
          <w:rFonts w:ascii="Arial" w:eastAsia="Times New Roman" w:hAnsi="Arial" w:cs="Arial"/>
          <w:color w:val="666666"/>
          <w:kern w:val="0"/>
          <w:sz w:val="27"/>
          <w:szCs w:val="27"/>
          <w:lang w:eastAsia="es-UY"/>
          <w14:ligatures w14:val="none"/>
        </w:rPr>
        <w:t> aún se considera un paisaje pasivo, un bosque que debe preservarse o explotarse, pero rara vez se la considera un territorio habitado por personas con historia, cultura y derechos. Se ignora que el 75 % de la población amazónica vive en zonas urbanas. Se habla de carreteras y petróleo en la </w:t>
      </w:r>
      <w:hyperlink r:id="rId20" w:tgtFrame="_blank" w:history="1">
        <w:r w:rsidRPr="005C632F">
          <w:rPr>
            <w:rFonts w:ascii="Arial" w:eastAsia="Times New Roman" w:hAnsi="Arial" w:cs="Arial"/>
            <w:color w:val="FC6B01"/>
            <w:kern w:val="0"/>
            <w:sz w:val="27"/>
            <w:szCs w:val="27"/>
            <w:u w:val="single"/>
            <w:lang w:eastAsia="es-UY"/>
            <w14:ligatures w14:val="none"/>
          </w:rPr>
          <w:t>margen ecuatorial</w:t>
        </w:r>
      </w:hyperlink>
      <w:r w:rsidRPr="005C632F">
        <w:rPr>
          <w:rFonts w:ascii="Arial" w:eastAsia="Times New Roman" w:hAnsi="Arial" w:cs="Arial"/>
          <w:color w:val="666666"/>
          <w:kern w:val="0"/>
          <w:sz w:val="27"/>
          <w:szCs w:val="27"/>
          <w:lang w:eastAsia="es-UY"/>
          <w14:ligatures w14:val="none"/>
        </w:rPr>
        <w:t> , pero poco se discute sobre regalías justas, fondos soberanos de inversión o estructuras permanentes de gobernanza ambiental que podrían, por ejemplo, suspender las actividades económicas ante riesgos ambientales.</w:t>
      </w:r>
    </w:p>
    <w:p w14:paraId="4E3208CA"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Mientras este tipo de subterfugio siga prevaleciendo, la </w:t>
      </w:r>
      <w:r w:rsidRPr="005C632F">
        <w:rPr>
          <w:rFonts w:ascii="Arial" w:eastAsia="Times New Roman" w:hAnsi="Arial" w:cs="Arial"/>
          <w:b/>
          <w:bCs/>
          <w:color w:val="666666"/>
          <w:kern w:val="0"/>
          <w:sz w:val="27"/>
          <w:szCs w:val="27"/>
          <w:lang w:eastAsia="es-UY"/>
          <w14:ligatures w14:val="none"/>
        </w:rPr>
        <w:t>Amazonía</w:t>
      </w:r>
      <w:r w:rsidRPr="005C632F">
        <w:rPr>
          <w:rFonts w:ascii="Arial" w:eastAsia="Times New Roman" w:hAnsi="Arial" w:cs="Arial"/>
          <w:color w:val="666666"/>
          <w:kern w:val="0"/>
          <w:sz w:val="27"/>
          <w:szCs w:val="27"/>
          <w:lang w:eastAsia="es-UY"/>
          <w14:ligatures w14:val="none"/>
        </w:rPr>
        <w:t> seguirá siendo utilizada como escaparate, sin confrontar realmente la </w:t>
      </w:r>
      <w:r w:rsidRPr="005C632F">
        <w:rPr>
          <w:rFonts w:ascii="Arial" w:eastAsia="Times New Roman" w:hAnsi="Arial" w:cs="Arial"/>
          <w:b/>
          <w:bCs/>
          <w:color w:val="666666"/>
          <w:kern w:val="0"/>
          <w:sz w:val="27"/>
          <w:szCs w:val="27"/>
          <w:lang w:eastAsia="es-UY"/>
          <w14:ligatures w14:val="none"/>
        </w:rPr>
        <w:t>lógica depredadora del capitalismo global</w:t>
      </w:r>
      <w:r w:rsidRPr="005C632F">
        <w:rPr>
          <w:rFonts w:ascii="Arial" w:eastAsia="Times New Roman" w:hAnsi="Arial" w:cs="Arial"/>
          <w:color w:val="666666"/>
          <w:kern w:val="0"/>
          <w:sz w:val="27"/>
          <w:szCs w:val="27"/>
          <w:lang w:eastAsia="es-UY"/>
          <w14:ligatures w14:val="none"/>
        </w:rPr>
        <w:t> . Aunque aumente su visibilidad, tiende a ser caricaturizada e instrumentalizada, sin fortalecer la autonomía de la región.</w:t>
      </w:r>
    </w:p>
    <w:p w14:paraId="70881887"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IHU – ¿Cómo evalúa el papel de la Universidad Federal de Pará y otros centros de investigación en este proceso? ¿Existe diálogo con el gobierno?</w:t>
      </w:r>
    </w:p>
    <w:p w14:paraId="3021E982"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Juliano Pamplona Ximenes Ponte –</w:t>
      </w:r>
      <w:r w:rsidRPr="005C632F">
        <w:rPr>
          <w:rFonts w:ascii="Arial" w:eastAsia="Times New Roman" w:hAnsi="Arial" w:cs="Arial"/>
          <w:color w:val="666666"/>
          <w:kern w:val="0"/>
          <w:sz w:val="27"/>
          <w:szCs w:val="27"/>
          <w:lang w:eastAsia="es-UY"/>
          <w14:ligatures w14:val="none"/>
        </w:rPr>
        <w:t> En los últimos años, el gobierno se ha acercado a las universidades públicas, incluso mediante la contratación de estudios y servicios de consultoría. Quienes históricamente nos han ignorado son las grandes empresas y los bancos, que a menudo financian campañas para devaluar las universidades públicas y elogiar a las instituciones privadas.</w:t>
      </w:r>
    </w:p>
    <w:p w14:paraId="2007DA73"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Basta con mirar las noticias: los economistas y expertos de universidades privadas como </w:t>
      </w:r>
      <w:r w:rsidRPr="005C632F">
        <w:rPr>
          <w:rFonts w:ascii="Arial" w:eastAsia="Times New Roman" w:hAnsi="Arial" w:cs="Arial"/>
          <w:b/>
          <w:bCs/>
          <w:color w:val="666666"/>
          <w:kern w:val="0"/>
          <w:sz w:val="27"/>
          <w:szCs w:val="27"/>
          <w:lang w:eastAsia="es-UY"/>
          <w14:ligatures w14:val="none"/>
        </w:rPr>
        <w:t>Insper</w:t>
      </w:r>
      <w:r w:rsidRPr="005C632F">
        <w:rPr>
          <w:rFonts w:ascii="Arial" w:eastAsia="Times New Roman" w:hAnsi="Arial" w:cs="Arial"/>
          <w:color w:val="666666"/>
          <w:kern w:val="0"/>
          <w:sz w:val="27"/>
          <w:szCs w:val="27"/>
          <w:lang w:eastAsia="es-UY"/>
          <w14:ligatures w14:val="none"/>
        </w:rPr>
        <w:t> y </w:t>
      </w:r>
      <w:r w:rsidRPr="005C632F">
        <w:rPr>
          <w:rFonts w:ascii="Arial" w:eastAsia="Times New Roman" w:hAnsi="Arial" w:cs="Arial"/>
          <w:b/>
          <w:bCs/>
          <w:color w:val="666666"/>
          <w:kern w:val="0"/>
          <w:sz w:val="27"/>
          <w:szCs w:val="27"/>
          <w:lang w:eastAsia="es-UY"/>
          <w14:ligatures w14:val="none"/>
        </w:rPr>
        <w:t>FGV</w:t>
      </w:r>
      <w:r w:rsidRPr="005C632F">
        <w:rPr>
          <w:rFonts w:ascii="Arial" w:eastAsia="Times New Roman" w:hAnsi="Arial" w:cs="Arial"/>
          <w:color w:val="666666"/>
          <w:kern w:val="0"/>
          <w:sz w:val="27"/>
          <w:szCs w:val="27"/>
          <w:lang w:eastAsia="es-UY"/>
          <w14:ligatures w14:val="none"/>
        </w:rPr>
        <w:t> tienen mucho más espacio, mientras que los investigadores de las universidades públicas rara vez son escuchados, especialmente cuando se trata de política o economía. En </w:t>
      </w:r>
      <w:r w:rsidRPr="005C632F">
        <w:rPr>
          <w:rFonts w:ascii="Arial" w:eastAsia="Times New Roman" w:hAnsi="Arial" w:cs="Arial"/>
          <w:b/>
          <w:bCs/>
          <w:color w:val="666666"/>
          <w:kern w:val="0"/>
          <w:sz w:val="27"/>
          <w:szCs w:val="27"/>
          <w:lang w:eastAsia="es-UY"/>
          <w14:ligatures w14:val="none"/>
        </w:rPr>
        <w:t>EE. UU.</w:t>
      </w:r>
      <w:r w:rsidRPr="005C632F">
        <w:rPr>
          <w:rFonts w:ascii="Arial" w:eastAsia="Times New Roman" w:hAnsi="Arial" w:cs="Arial"/>
          <w:color w:val="666666"/>
          <w:kern w:val="0"/>
          <w:sz w:val="27"/>
          <w:szCs w:val="27"/>
          <w:lang w:eastAsia="es-UY"/>
          <w14:ligatures w14:val="none"/>
        </w:rPr>
        <w:t> , existe una dinámica similar, aunque existe resistencia, como la de </w:t>
      </w:r>
      <w:hyperlink r:id="rId21" w:tgtFrame="_blank" w:history="1">
        <w:r w:rsidRPr="005C632F">
          <w:rPr>
            <w:rFonts w:ascii="Arial" w:eastAsia="Times New Roman" w:hAnsi="Arial" w:cs="Arial"/>
            <w:color w:val="FC6B01"/>
            <w:kern w:val="0"/>
            <w:sz w:val="27"/>
            <w:szCs w:val="27"/>
            <w:u w:val="single"/>
            <w:lang w:eastAsia="es-UY"/>
            <w14:ligatures w14:val="none"/>
          </w:rPr>
          <w:t>Harvard contra Trump</w:t>
        </w:r>
      </w:hyperlink>
      <w:r w:rsidRPr="005C632F">
        <w:rPr>
          <w:rFonts w:ascii="Arial" w:eastAsia="Times New Roman" w:hAnsi="Arial" w:cs="Arial"/>
          <w:color w:val="666666"/>
          <w:kern w:val="0"/>
          <w:sz w:val="27"/>
          <w:szCs w:val="27"/>
          <w:lang w:eastAsia="es-UY"/>
          <w14:ligatures w14:val="none"/>
        </w:rPr>
        <w:t> . Aun así, </w:t>
      </w:r>
      <w:r w:rsidRPr="005C632F">
        <w:rPr>
          <w:rFonts w:ascii="Arial" w:eastAsia="Times New Roman" w:hAnsi="Arial" w:cs="Arial"/>
          <w:b/>
          <w:bCs/>
          <w:color w:val="666666"/>
          <w:kern w:val="0"/>
          <w:sz w:val="27"/>
          <w:szCs w:val="27"/>
          <w:lang w:eastAsia="es-UY"/>
          <w14:ligatures w14:val="none"/>
        </w:rPr>
        <w:t>los ataques directos a las grandes universidades públicas</w:t>
      </w:r>
      <w:r w:rsidRPr="005C632F">
        <w:rPr>
          <w:rFonts w:ascii="Arial" w:eastAsia="Times New Roman" w:hAnsi="Arial" w:cs="Arial"/>
          <w:color w:val="666666"/>
          <w:kern w:val="0"/>
          <w:sz w:val="27"/>
          <w:szCs w:val="27"/>
          <w:lang w:eastAsia="es-UY"/>
          <w14:ligatures w14:val="none"/>
        </w:rPr>
        <w:t> , como la de </w:t>
      </w:r>
      <w:r w:rsidRPr="005C632F">
        <w:rPr>
          <w:rFonts w:ascii="Arial" w:eastAsia="Times New Roman" w:hAnsi="Arial" w:cs="Arial"/>
          <w:b/>
          <w:bCs/>
          <w:color w:val="666666"/>
          <w:kern w:val="0"/>
          <w:sz w:val="27"/>
          <w:szCs w:val="27"/>
          <w:lang w:eastAsia="es-UY"/>
          <w14:ligatures w14:val="none"/>
        </w:rPr>
        <w:t>California</w:t>
      </w:r>
      <w:r w:rsidRPr="005C632F">
        <w:rPr>
          <w:rFonts w:ascii="Arial" w:eastAsia="Times New Roman" w:hAnsi="Arial" w:cs="Arial"/>
          <w:color w:val="666666"/>
          <w:kern w:val="0"/>
          <w:sz w:val="27"/>
          <w:szCs w:val="27"/>
          <w:lang w:eastAsia="es-UY"/>
          <w14:ligatures w14:val="none"/>
        </w:rPr>
        <w:t> , son poco frecuentes.</w:t>
      </w:r>
    </w:p>
    <w:p w14:paraId="6854266C"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En </w:t>
      </w:r>
      <w:r w:rsidRPr="005C632F">
        <w:rPr>
          <w:rFonts w:ascii="Arial" w:eastAsia="Times New Roman" w:hAnsi="Arial" w:cs="Arial"/>
          <w:b/>
          <w:bCs/>
          <w:color w:val="666666"/>
          <w:kern w:val="0"/>
          <w:sz w:val="27"/>
          <w:szCs w:val="27"/>
          <w:lang w:eastAsia="es-UY"/>
          <w14:ligatures w14:val="none"/>
        </w:rPr>
        <w:t>la UFPA</w:t>
      </w:r>
      <w:r w:rsidRPr="005C632F">
        <w:rPr>
          <w:rFonts w:ascii="Arial" w:eastAsia="Times New Roman" w:hAnsi="Arial" w:cs="Arial"/>
          <w:color w:val="666666"/>
          <w:kern w:val="0"/>
          <w:sz w:val="27"/>
          <w:szCs w:val="27"/>
          <w:lang w:eastAsia="es-UY"/>
          <w14:ligatures w14:val="none"/>
        </w:rPr>
        <w:t> se están creando centros con un enfoque directo en la </w:t>
      </w:r>
      <w:r w:rsidRPr="005C632F">
        <w:rPr>
          <w:rFonts w:ascii="Arial" w:eastAsia="Times New Roman" w:hAnsi="Arial" w:cs="Arial"/>
          <w:b/>
          <w:bCs/>
          <w:color w:val="666666"/>
          <w:kern w:val="0"/>
          <w:sz w:val="27"/>
          <w:szCs w:val="27"/>
          <w:lang w:eastAsia="es-UY"/>
          <w14:ligatures w14:val="none"/>
        </w:rPr>
        <w:t>Amazonía</w:t>
      </w:r>
      <w:r w:rsidRPr="005C632F">
        <w:rPr>
          <w:rFonts w:ascii="Arial" w:eastAsia="Times New Roman" w:hAnsi="Arial" w:cs="Arial"/>
          <w:color w:val="666666"/>
          <w:kern w:val="0"/>
          <w:sz w:val="27"/>
          <w:szCs w:val="27"/>
          <w:lang w:eastAsia="es-UY"/>
          <w14:ligatures w14:val="none"/>
        </w:rPr>
        <w:t> , como el </w:t>
      </w:r>
      <w:r w:rsidRPr="005C632F">
        <w:rPr>
          <w:rFonts w:ascii="Arial" w:eastAsia="Times New Roman" w:hAnsi="Arial" w:cs="Arial"/>
          <w:b/>
          <w:bCs/>
          <w:color w:val="666666"/>
          <w:kern w:val="0"/>
          <w:sz w:val="27"/>
          <w:szCs w:val="27"/>
          <w:lang w:eastAsia="es-UY"/>
          <w14:ligatures w14:val="none"/>
        </w:rPr>
        <w:t>Centro de Bioeconomía</w:t>
      </w:r>
      <w:r w:rsidRPr="005C632F">
        <w:rPr>
          <w:rFonts w:ascii="Arial" w:eastAsia="Times New Roman" w:hAnsi="Arial" w:cs="Arial"/>
          <w:color w:val="666666"/>
          <w:kern w:val="0"/>
          <w:sz w:val="27"/>
          <w:szCs w:val="27"/>
          <w:lang w:eastAsia="es-UY"/>
          <w14:ligatures w14:val="none"/>
        </w:rPr>
        <w:t> , que reúne a varios investigadores comprometidos con una agenda regional. Estos centros buscan integrar las demandas locales en el debate global de forma cualificada y proactiva. Sin embargo, los gobiernos conservadores a menudo se resisten a escuchar nuestros análisis críticos, precisamente porque nuestra función es cuestionar, señalar fallas y proponer alternativas basadas en la experiencia.</w:t>
      </w:r>
    </w:p>
    <w:p w14:paraId="7F52E35C"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En el gobierno </w:t>
      </w:r>
      <w:r w:rsidRPr="005C632F">
        <w:rPr>
          <w:rFonts w:ascii="Arial" w:eastAsia="Times New Roman" w:hAnsi="Arial" w:cs="Arial"/>
          <w:b/>
          <w:bCs/>
          <w:color w:val="666666"/>
          <w:kern w:val="0"/>
          <w:sz w:val="27"/>
          <w:szCs w:val="27"/>
          <w:lang w:eastAsia="es-UY"/>
          <w14:ligatures w14:val="none"/>
        </w:rPr>
        <w:t>de Lula</w:t>
      </w:r>
      <w:r w:rsidRPr="005C632F">
        <w:rPr>
          <w:rFonts w:ascii="Arial" w:eastAsia="Times New Roman" w:hAnsi="Arial" w:cs="Arial"/>
          <w:color w:val="666666"/>
          <w:kern w:val="0"/>
          <w:sz w:val="27"/>
          <w:szCs w:val="27"/>
          <w:lang w:eastAsia="es-UY"/>
          <w14:ligatures w14:val="none"/>
        </w:rPr>
        <w:t> , hay más apertura. Siempre la ha habido, y esperamos que aumente, incluso con la reestructuración de nuestros presupuestos, que aún son insuficientes considerando la importancia del trabajo que realizamos.</w:t>
      </w:r>
    </w:p>
    <w:p w14:paraId="29E9305E" w14:textId="77777777" w:rsidR="005C632F" w:rsidRPr="005C632F" w:rsidRDefault="005C632F" w:rsidP="005C632F">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5C632F">
        <w:rPr>
          <w:rFonts w:ascii="Arial" w:eastAsia="Times New Roman" w:hAnsi="Arial" w:cs="Arial"/>
          <w:b/>
          <w:bCs/>
          <w:i/>
          <w:iCs/>
          <w:color w:val="BF4E14" w:themeColor="accent2" w:themeShade="BF"/>
          <w:kern w:val="0"/>
          <w:sz w:val="27"/>
          <w:szCs w:val="27"/>
          <w:lang w:eastAsia="es-UY"/>
          <w14:ligatures w14:val="none"/>
        </w:rPr>
        <w:lastRenderedPageBreak/>
        <w:t>No basta con pensar en la escala del edificio, como hacen muchos arquitectos; es necesario pensar en la escala urbana y regional, repensando toda la cadena de producción del entorno construido – Juliano Pamplona Ximenes Ponte</w:t>
      </w:r>
    </w:p>
    <w:p w14:paraId="71F14802" w14:textId="3D5FA3E6" w:rsidR="005C632F" w:rsidRPr="005C632F" w:rsidRDefault="005C632F" w:rsidP="005C632F">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506467F7"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IHU – ¿Es posible diseñar una infraestructura de bajo impacto, inspirada en el conocimiento amazónico, para albergar delegaciones y eventos de la COP30?</w:t>
      </w:r>
    </w:p>
    <w:p w14:paraId="36F556A8"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Juliano Pamplona Ximenes Ponte –</w:t>
      </w:r>
      <w:r w:rsidRPr="005C632F">
        <w:rPr>
          <w:rFonts w:ascii="Arial" w:eastAsia="Times New Roman" w:hAnsi="Arial" w:cs="Arial"/>
          <w:color w:val="666666"/>
          <w:kern w:val="0"/>
          <w:sz w:val="27"/>
          <w:szCs w:val="27"/>
          <w:lang w:eastAsia="es-UY"/>
          <w14:ligatures w14:val="none"/>
        </w:rPr>
        <w:t> Se habla mucho de « </w:t>
      </w:r>
      <w:hyperlink r:id="rId22" w:tgtFrame="_blank" w:history="1">
        <w:r w:rsidRPr="005C632F">
          <w:rPr>
            <w:rFonts w:ascii="Arial" w:eastAsia="Times New Roman" w:hAnsi="Arial" w:cs="Arial"/>
            <w:color w:val="FC6B01"/>
            <w:kern w:val="0"/>
            <w:sz w:val="27"/>
            <w:szCs w:val="27"/>
            <w:u w:val="single"/>
            <w:lang w:eastAsia="es-UY"/>
            <w14:ligatures w14:val="none"/>
          </w:rPr>
          <w:t>soluciones basadas en la naturaleza</w:t>
        </w:r>
      </w:hyperlink>
      <w:r w:rsidRPr="005C632F">
        <w:rPr>
          <w:rFonts w:ascii="Arial" w:eastAsia="Times New Roman" w:hAnsi="Arial" w:cs="Arial"/>
          <w:color w:val="666666"/>
          <w:kern w:val="0"/>
          <w:sz w:val="27"/>
          <w:szCs w:val="27"/>
          <w:lang w:eastAsia="es-UY"/>
          <w14:ligatures w14:val="none"/>
        </w:rPr>
        <w:t> » (SbN). El término es simple y comunicativo, pero conceptualmente cuestionable. Lo que deberíamos buscar es una transformación más profunda: ciudades con infraestructura urbana de bajo impacto, menor generación de residuos y un mejor desempeño ambiental.</w:t>
      </w:r>
    </w:p>
    <w:p w14:paraId="7D0A4265"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Esto, sin embargo, entra en conflicto con los intereses económicos y resultaría menos rentable para las constructoras y las cadenas globales de petróleo, gas, acero y cemento. Además, implicaría replantear la propiedad del suelo y adoptar una gestión más colectiva, basada en cuencas hidrográficas e instrumentos clásicos de planificación urbana, como el control de la densidad de población y edificación.</w:t>
      </w:r>
    </w:p>
    <w:p w14:paraId="0DA214F4"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No basta con pensar en la escala del edificio, como hacen muchos arquitectos; es necesario pensar en la escala urbana y regional, repensando toda la cadena productiva del entorno construido, centrándose en el confort térmico, la ventilación y la iluminación pasiva, la reutilización de materiales y la reducción del consumo energético.</w:t>
      </w:r>
    </w:p>
    <w:p w14:paraId="1E0A9CA6"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Hoy en día, el uso de la infraestructura verde y la bioingeniería suele ser superficial, casi como una marca estética, sin cambiar realmente la </w:t>
      </w:r>
      <w:r w:rsidRPr="005C632F">
        <w:rPr>
          <w:rFonts w:ascii="Arial" w:eastAsia="Times New Roman" w:hAnsi="Arial" w:cs="Arial"/>
          <w:b/>
          <w:bCs/>
          <w:color w:val="666666"/>
          <w:kern w:val="0"/>
          <w:sz w:val="27"/>
          <w:szCs w:val="27"/>
          <w:lang w:eastAsia="es-UY"/>
          <w14:ligatures w14:val="none"/>
        </w:rPr>
        <w:t>lógica depredadora</w:t>
      </w:r>
      <w:r w:rsidRPr="005C632F">
        <w:rPr>
          <w:rFonts w:ascii="Arial" w:eastAsia="Times New Roman" w:hAnsi="Arial" w:cs="Arial"/>
          <w:color w:val="666666"/>
          <w:kern w:val="0"/>
          <w:sz w:val="27"/>
          <w:szCs w:val="27"/>
          <w:lang w:eastAsia="es-UY"/>
          <w14:ligatures w14:val="none"/>
        </w:rPr>
        <w:t> que favorece al hormigón y al asfalto. Es necesario romper con esta lógica para que sean viables soluciones más justas y sostenibles.</w:t>
      </w:r>
    </w:p>
    <w:p w14:paraId="18285523"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IHU – ¿Qué ejemplos de proyectos o soluciones urbanas integradas al territorio amazónico podrían servir de referencia para la COP30 en Belém?</w:t>
      </w:r>
    </w:p>
    <w:p w14:paraId="5E56E878"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b/>
          <w:bCs/>
          <w:color w:val="666666"/>
          <w:kern w:val="0"/>
          <w:sz w:val="27"/>
          <w:szCs w:val="27"/>
          <w:lang w:eastAsia="es-UY"/>
          <w14:ligatures w14:val="none"/>
        </w:rPr>
        <w:t>Juliano Pamplona Ximenes Ponte –</w:t>
      </w:r>
      <w:r w:rsidRPr="005C632F">
        <w:rPr>
          <w:rFonts w:ascii="Arial" w:eastAsia="Times New Roman" w:hAnsi="Arial" w:cs="Arial"/>
          <w:color w:val="666666"/>
          <w:kern w:val="0"/>
          <w:sz w:val="27"/>
          <w:szCs w:val="27"/>
          <w:lang w:eastAsia="es-UY"/>
          <w14:ligatures w14:val="none"/>
        </w:rPr>
        <w:t> Las referencias más consistentes son las </w:t>
      </w:r>
      <w:r w:rsidRPr="005C632F">
        <w:rPr>
          <w:rFonts w:ascii="Arial" w:eastAsia="Times New Roman" w:hAnsi="Arial" w:cs="Arial"/>
          <w:b/>
          <w:bCs/>
          <w:color w:val="666666"/>
          <w:kern w:val="0"/>
          <w:sz w:val="27"/>
          <w:szCs w:val="27"/>
          <w:lang w:eastAsia="es-UY"/>
          <w14:ligatures w14:val="none"/>
        </w:rPr>
        <w:t>tradicionales</w:t>
      </w:r>
      <w:r w:rsidRPr="005C632F">
        <w:rPr>
          <w:rFonts w:ascii="Arial" w:eastAsia="Times New Roman" w:hAnsi="Arial" w:cs="Arial"/>
          <w:color w:val="666666"/>
          <w:kern w:val="0"/>
          <w:sz w:val="27"/>
          <w:szCs w:val="27"/>
          <w:lang w:eastAsia="es-UY"/>
          <w14:ligatures w14:val="none"/>
        </w:rPr>
        <w:t> , ya arraigadas en el territorio. En el </w:t>
      </w:r>
      <w:r w:rsidRPr="005C632F">
        <w:rPr>
          <w:rFonts w:ascii="Arial" w:eastAsia="Times New Roman" w:hAnsi="Arial" w:cs="Arial"/>
          <w:b/>
          <w:bCs/>
          <w:color w:val="666666"/>
          <w:kern w:val="0"/>
          <w:sz w:val="27"/>
          <w:szCs w:val="27"/>
          <w:lang w:eastAsia="es-UY"/>
          <w14:ligatures w14:val="none"/>
        </w:rPr>
        <w:t>contexto amazónico</w:t>
      </w:r>
      <w:r w:rsidRPr="005C632F">
        <w:rPr>
          <w:rFonts w:ascii="Arial" w:eastAsia="Times New Roman" w:hAnsi="Arial" w:cs="Arial"/>
          <w:color w:val="666666"/>
          <w:kern w:val="0"/>
          <w:sz w:val="27"/>
          <w:szCs w:val="27"/>
          <w:lang w:eastAsia="es-UY"/>
          <w14:ligatures w14:val="none"/>
        </w:rPr>
        <w:t> , destacan los palafitos utilizados tanto en viviendas como en espacios públicos, el uso de madera local, fibras naturales y cerámica, que ofrecen un buen desempeño ambiental para las condiciones regionales.</w:t>
      </w:r>
    </w:p>
    <w:p w14:paraId="47212BBE"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Con mayor investigación y desarrollo, estas técnicas podrían inspirar nuevas formas de </w:t>
      </w:r>
      <w:r w:rsidRPr="005C632F">
        <w:rPr>
          <w:rFonts w:ascii="Arial" w:eastAsia="Times New Roman" w:hAnsi="Arial" w:cs="Arial"/>
          <w:b/>
          <w:bCs/>
          <w:color w:val="666666"/>
          <w:kern w:val="0"/>
          <w:sz w:val="27"/>
          <w:szCs w:val="27"/>
          <w:lang w:eastAsia="es-UY"/>
          <w14:ligatures w14:val="none"/>
        </w:rPr>
        <w:t>ocupación urbana</w:t>
      </w:r>
      <w:r w:rsidRPr="005C632F">
        <w:rPr>
          <w:rFonts w:ascii="Arial" w:eastAsia="Times New Roman" w:hAnsi="Arial" w:cs="Arial"/>
          <w:color w:val="666666"/>
          <w:kern w:val="0"/>
          <w:sz w:val="27"/>
          <w:szCs w:val="27"/>
          <w:lang w:eastAsia="es-UY"/>
          <w14:ligatures w14:val="none"/>
        </w:rPr>
        <w:t> , especialmente considerando que el 75% de la </w:t>
      </w:r>
      <w:r w:rsidRPr="005C632F">
        <w:rPr>
          <w:rFonts w:ascii="Arial" w:eastAsia="Times New Roman" w:hAnsi="Arial" w:cs="Arial"/>
          <w:b/>
          <w:bCs/>
          <w:color w:val="666666"/>
          <w:kern w:val="0"/>
          <w:sz w:val="27"/>
          <w:szCs w:val="27"/>
          <w:lang w:eastAsia="es-UY"/>
          <w14:ligatures w14:val="none"/>
        </w:rPr>
        <w:t>población amazónica</w:t>
      </w:r>
      <w:r w:rsidRPr="005C632F">
        <w:rPr>
          <w:rFonts w:ascii="Arial" w:eastAsia="Times New Roman" w:hAnsi="Arial" w:cs="Arial"/>
          <w:color w:val="666666"/>
          <w:kern w:val="0"/>
          <w:sz w:val="27"/>
          <w:szCs w:val="27"/>
          <w:lang w:eastAsia="es-UY"/>
          <w14:ligatures w14:val="none"/>
        </w:rPr>
        <w:t xml:space="preserve"> vive en zonas urbanas. Estas soluciones también tienen el potencial de orientar las estrategias de regularización territorial. Sin embargo, nada de esto es posible sin </w:t>
      </w:r>
      <w:r w:rsidRPr="005C632F">
        <w:rPr>
          <w:rFonts w:ascii="Arial" w:eastAsia="Times New Roman" w:hAnsi="Arial" w:cs="Arial"/>
          <w:color w:val="666666"/>
          <w:kern w:val="0"/>
          <w:sz w:val="27"/>
          <w:szCs w:val="27"/>
          <w:lang w:eastAsia="es-UY"/>
          <w14:ligatures w14:val="none"/>
        </w:rPr>
        <w:lastRenderedPageBreak/>
        <w:t>abordar las profundas desigualdades económicas que estructuran el espacio urbano. </w:t>
      </w:r>
      <w:r w:rsidRPr="005C632F">
        <w:rPr>
          <w:rFonts w:ascii="Arial" w:eastAsia="Times New Roman" w:hAnsi="Arial" w:cs="Arial"/>
          <w:b/>
          <w:bCs/>
          <w:color w:val="666666"/>
          <w:kern w:val="0"/>
          <w:sz w:val="27"/>
          <w:szCs w:val="27"/>
          <w:lang w:eastAsia="es-UY"/>
          <w14:ligatures w14:val="none"/>
        </w:rPr>
        <w:t>La sostenibilidad</w:t>
      </w:r>
      <w:r w:rsidRPr="005C632F">
        <w:rPr>
          <w:rFonts w:ascii="Arial" w:eastAsia="Times New Roman" w:hAnsi="Arial" w:cs="Arial"/>
          <w:color w:val="666666"/>
          <w:kern w:val="0"/>
          <w:sz w:val="27"/>
          <w:szCs w:val="27"/>
          <w:lang w:eastAsia="es-UY"/>
          <w14:ligatures w14:val="none"/>
        </w:rPr>
        <w:t> , en este caso, implica necesariamente </w:t>
      </w:r>
      <w:hyperlink r:id="rId23" w:tgtFrame="_blank" w:history="1">
        <w:r w:rsidRPr="005C632F">
          <w:rPr>
            <w:rFonts w:ascii="Arial" w:eastAsia="Times New Roman" w:hAnsi="Arial" w:cs="Arial"/>
            <w:color w:val="FC6B01"/>
            <w:kern w:val="0"/>
            <w:sz w:val="27"/>
            <w:szCs w:val="27"/>
            <w:u w:val="single"/>
            <w:lang w:eastAsia="es-UY"/>
            <w14:ligatures w14:val="none"/>
          </w:rPr>
          <w:t>justicia social</w:t>
        </w:r>
      </w:hyperlink>
      <w:r w:rsidRPr="005C632F">
        <w:rPr>
          <w:rFonts w:ascii="Arial" w:eastAsia="Times New Roman" w:hAnsi="Arial" w:cs="Arial"/>
          <w:color w:val="666666"/>
          <w:kern w:val="0"/>
          <w:sz w:val="27"/>
          <w:szCs w:val="27"/>
          <w:lang w:eastAsia="es-UY"/>
          <w14:ligatures w14:val="none"/>
        </w:rPr>
        <w:t> .</w:t>
      </w:r>
    </w:p>
    <w:p w14:paraId="5E98044B" w14:textId="77777777" w:rsidR="005C632F" w:rsidRPr="005C632F" w:rsidRDefault="005C632F" w:rsidP="005C632F">
      <w:pPr>
        <w:spacing w:after="0" w:line="240" w:lineRule="auto"/>
        <w:jc w:val="both"/>
        <w:rPr>
          <w:rFonts w:ascii="Arial" w:eastAsia="Times New Roman" w:hAnsi="Arial" w:cs="Arial"/>
          <w:color w:val="666666"/>
          <w:kern w:val="0"/>
          <w:sz w:val="27"/>
          <w:szCs w:val="27"/>
          <w:lang w:eastAsia="es-UY"/>
          <w14:ligatures w14:val="none"/>
        </w:rPr>
      </w:pPr>
      <w:r w:rsidRPr="005C632F">
        <w:rPr>
          <w:rFonts w:ascii="Arial" w:eastAsia="Times New Roman" w:hAnsi="Arial" w:cs="Arial"/>
          <w:color w:val="666666"/>
          <w:kern w:val="0"/>
          <w:sz w:val="27"/>
          <w:szCs w:val="27"/>
          <w:lang w:eastAsia="es-UY"/>
          <w14:ligatures w14:val="none"/>
        </w:rPr>
        <w:t>La agenda es esencialmente política. Se trata de debatir cómo queremos vivir, asegurar un futuro digno y, sobre todo, qué derrotas debemos imponer a quienes históricamente ostentan el poder sobre nuestros territorios y nuestras vidas.</w:t>
      </w:r>
    </w:p>
    <w:p w14:paraId="414B4078" w14:textId="77777777" w:rsidR="00926044" w:rsidRDefault="00926044"/>
    <w:p w14:paraId="5D322A64" w14:textId="36D91E22" w:rsidR="00B17619" w:rsidRDefault="00B17619">
      <w:hyperlink r:id="rId24" w:history="1">
        <w:r w:rsidRPr="00F62F4E">
          <w:rPr>
            <w:rStyle w:val="Hipervnculo"/>
          </w:rPr>
          <w:t>https://www.ihu.unisinos.br/653556-sustentabilidade-de-fachada-o-outro-lado-da-cop30-em-belem-entrevista-especial-com-juliano-pamplona-ximenes-ponte?utm_campaign=newsletter_ihu__23-06-2025&amp;utm_medium=email&amp;utm_source=RD+Station</w:t>
        </w:r>
      </w:hyperlink>
    </w:p>
    <w:p w14:paraId="79CBAE9C" w14:textId="77777777" w:rsidR="00B17619" w:rsidRDefault="00B17619"/>
    <w:sectPr w:rsidR="00B1761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F"/>
    <w:rsid w:val="005C632F"/>
    <w:rsid w:val="005F249F"/>
    <w:rsid w:val="006117B6"/>
    <w:rsid w:val="00926044"/>
    <w:rsid w:val="00B17619"/>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D81DD"/>
  <w15:chartTrackingRefBased/>
  <w15:docId w15:val="{50648616-0D81-4822-A583-BB0A1E64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63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C63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C632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C632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C632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C632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C632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C632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C632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632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C632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C632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C632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C632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C632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C632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C632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C632F"/>
    <w:rPr>
      <w:rFonts w:eastAsiaTheme="majorEastAsia" w:cstheme="majorBidi"/>
      <w:color w:val="272727" w:themeColor="text1" w:themeTint="D8"/>
    </w:rPr>
  </w:style>
  <w:style w:type="paragraph" w:styleId="Ttulo">
    <w:name w:val="Title"/>
    <w:basedOn w:val="Normal"/>
    <w:next w:val="Normal"/>
    <w:link w:val="TtuloCar"/>
    <w:uiPriority w:val="10"/>
    <w:qFormat/>
    <w:rsid w:val="005C63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C632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C632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C632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C632F"/>
    <w:pPr>
      <w:spacing w:before="160"/>
      <w:jc w:val="center"/>
    </w:pPr>
    <w:rPr>
      <w:i/>
      <w:iCs/>
      <w:color w:val="404040" w:themeColor="text1" w:themeTint="BF"/>
    </w:rPr>
  </w:style>
  <w:style w:type="character" w:customStyle="1" w:styleId="CitaCar">
    <w:name w:val="Cita Car"/>
    <w:basedOn w:val="Fuentedeprrafopredeter"/>
    <w:link w:val="Cita"/>
    <w:uiPriority w:val="29"/>
    <w:rsid w:val="005C632F"/>
    <w:rPr>
      <w:i/>
      <w:iCs/>
      <w:color w:val="404040" w:themeColor="text1" w:themeTint="BF"/>
    </w:rPr>
  </w:style>
  <w:style w:type="paragraph" w:styleId="Prrafodelista">
    <w:name w:val="List Paragraph"/>
    <w:basedOn w:val="Normal"/>
    <w:uiPriority w:val="34"/>
    <w:qFormat/>
    <w:rsid w:val="005C632F"/>
    <w:pPr>
      <w:ind w:left="720"/>
      <w:contextualSpacing/>
    </w:pPr>
  </w:style>
  <w:style w:type="character" w:styleId="nfasisintenso">
    <w:name w:val="Intense Emphasis"/>
    <w:basedOn w:val="Fuentedeprrafopredeter"/>
    <w:uiPriority w:val="21"/>
    <w:qFormat/>
    <w:rsid w:val="005C632F"/>
    <w:rPr>
      <w:i/>
      <w:iCs/>
      <w:color w:val="0F4761" w:themeColor="accent1" w:themeShade="BF"/>
    </w:rPr>
  </w:style>
  <w:style w:type="paragraph" w:styleId="Citadestacada">
    <w:name w:val="Intense Quote"/>
    <w:basedOn w:val="Normal"/>
    <w:next w:val="Normal"/>
    <w:link w:val="CitadestacadaCar"/>
    <w:uiPriority w:val="30"/>
    <w:qFormat/>
    <w:rsid w:val="005C63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C632F"/>
    <w:rPr>
      <w:i/>
      <w:iCs/>
      <w:color w:val="0F4761" w:themeColor="accent1" w:themeShade="BF"/>
    </w:rPr>
  </w:style>
  <w:style w:type="character" w:styleId="Referenciaintensa">
    <w:name w:val="Intense Reference"/>
    <w:basedOn w:val="Fuentedeprrafopredeter"/>
    <w:uiPriority w:val="32"/>
    <w:qFormat/>
    <w:rsid w:val="005C632F"/>
    <w:rPr>
      <w:b/>
      <w:bCs/>
      <w:smallCaps/>
      <w:color w:val="0F4761" w:themeColor="accent1" w:themeShade="BF"/>
      <w:spacing w:val="5"/>
    </w:rPr>
  </w:style>
  <w:style w:type="character" w:styleId="Hipervnculo">
    <w:name w:val="Hyperlink"/>
    <w:basedOn w:val="Fuentedeprrafopredeter"/>
    <w:uiPriority w:val="99"/>
    <w:unhideWhenUsed/>
    <w:rsid w:val="00B17619"/>
    <w:rPr>
      <w:color w:val="467886" w:themeColor="hyperlink"/>
      <w:u w:val="single"/>
    </w:rPr>
  </w:style>
  <w:style w:type="character" w:styleId="Mencinsinresolver">
    <w:name w:val="Unresolved Mention"/>
    <w:basedOn w:val="Fuentedeprrafopredeter"/>
    <w:uiPriority w:val="99"/>
    <w:semiHidden/>
    <w:unhideWhenUsed/>
    <w:rsid w:val="00B176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4156300">
      <w:bodyDiv w:val="1"/>
      <w:marLeft w:val="0"/>
      <w:marRight w:val="0"/>
      <w:marTop w:val="0"/>
      <w:marBottom w:val="0"/>
      <w:divBdr>
        <w:top w:val="none" w:sz="0" w:space="0" w:color="auto"/>
        <w:left w:val="none" w:sz="0" w:space="0" w:color="auto"/>
        <w:bottom w:val="none" w:sz="0" w:space="0" w:color="auto"/>
        <w:right w:val="none" w:sz="0" w:space="0" w:color="auto"/>
      </w:divBdr>
      <w:divsChild>
        <w:div w:id="1524594150">
          <w:marLeft w:val="0"/>
          <w:marRight w:val="0"/>
          <w:marTop w:val="0"/>
          <w:marBottom w:val="0"/>
          <w:divBdr>
            <w:top w:val="none" w:sz="0" w:space="0" w:color="auto"/>
            <w:left w:val="none" w:sz="0" w:space="0" w:color="auto"/>
            <w:bottom w:val="none" w:sz="0" w:space="0" w:color="auto"/>
            <w:right w:val="none" w:sz="0" w:space="0" w:color="auto"/>
          </w:divBdr>
        </w:div>
        <w:div w:id="462309782">
          <w:marLeft w:val="0"/>
          <w:marRight w:val="0"/>
          <w:marTop w:val="450"/>
          <w:marBottom w:val="450"/>
          <w:divBdr>
            <w:top w:val="single" w:sz="12" w:space="11" w:color="DDDDDD"/>
            <w:left w:val="none" w:sz="0" w:space="0" w:color="auto"/>
            <w:bottom w:val="single" w:sz="12" w:space="11" w:color="DDDDDD"/>
            <w:right w:val="none" w:sz="0" w:space="0" w:color="auto"/>
          </w:divBdr>
        </w:div>
        <w:div w:id="532307046">
          <w:marLeft w:val="0"/>
          <w:marRight w:val="0"/>
          <w:marTop w:val="450"/>
          <w:marBottom w:val="450"/>
          <w:divBdr>
            <w:top w:val="single" w:sz="12" w:space="11" w:color="DDDDDD"/>
            <w:left w:val="none" w:sz="0" w:space="0" w:color="auto"/>
            <w:bottom w:val="single" w:sz="12" w:space="11" w:color="DDDDDD"/>
            <w:right w:val="none" w:sz="0" w:space="0" w:color="auto"/>
          </w:divBdr>
        </w:div>
        <w:div w:id="1316490260">
          <w:marLeft w:val="0"/>
          <w:marRight w:val="0"/>
          <w:marTop w:val="450"/>
          <w:marBottom w:val="450"/>
          <w:divBdr>
            <w:top w:val="single" w:sz="12" w:space="11" w:color="DDDDDD"/>
            <w:left w:val="none" w:sz="0" w:space="0" w:color="auto"/>
            <w:bottom w:val="single" w:sz="12" w:space="11" w:color="DDDDDD"/>
            <w:right w:val="none" w:sz="0" w:space="0" w:color="auto"/>
          </w:divBdr>
        </w:div>
        <w:div w:id="1512447330">
          <w:marLeft w:val="0"/>
          <w:marRight w:val="0"/>
          <w:marTop w:val="450"/>
          <w:marBottom w:val="450"/>
          <w:divBdr>
            <w:top w:val="single" w:sz="12" w:space="11" w:color="DDDDDD"/>
            <w:left w:val="none" w:sz="0" w:space="0" w:color="auto"/>
            <w:bottom w:val="single" w:sz="12" w:space="11" w:color="DDDDDD"/>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online.unisinos.br/edicao/129" TargetMode="External"/><Relationship Id="rId13" Type="http://schemas.openxmlformats.org/officeDocument/2006/relationships/hyperlink" Target="https://ihu.unisinos.br/651679-tinha-uma-cop-no-meio-do-caminho-pesquisadores-ja-apontam-impactos-da-cop-30-para-belem" TargetMode="External"/><Relationship Id="rId18" Type="http://schemas.openxmlformats.org/officeDocument/2006/relationships/hyperlink" Target="https://ihu.unisinos.br/categorias/649433-ailton-krenak-critica-investimento-na-exploracao-de-petroleo-inconcebivel"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ihu.unisinos.br/652555" TargetMode="External"/><Relationship Id="rId7" Type="http://schemas.openxmlformats.org/officeDocument/2006/relationships/hyperlink" Target="https://www.ihu.unisinos.br/categorias/619155-porto-alegre-de-frente-para-o-guaiba-mas-de-costas-para-os-pobres" TargetMode="External"/><Relationship Id="rId12" Type="http://schemas.openxmlformats.org/officeDocument/2006/relationships/hyperlink" Target="https://ihu.unisinos.br/617314-no-brasil-30-milhoes-vivem-sem-agua-tratada-e-100-milhoes-nao-tem-coleta-de-esgoto" TargetMode="External"/><Relationship Id="rId17" Type="http://schemas.openxmlformats.org/officeDocument/2006/relationships/hyperlink" Target="https://www.ihu.unisinos.br/categorias/644838-a-amazonia-no-centro-do-mundo-cop-30-2025"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hu.unisinos.br/558866" TargetMode="External"/><Relationship Id="rId20" Type="http://schemas.openxmlformats.org/officeDocument/2006/relationships/hyperlink" Target="https://ihu.unisinos.br/653518-sob-protestos-governo-leiloa-19-blocos-para-exploracao-de-petroleo-na-foz-do-amazonas" TargetMode="External"/><Relationship Id="rId1" Type="http://schemas.openxmlformats.org/officeDocument/2006/relationships/styles" Target="styles.xml"/><Relationship Id="rId6" Type="http://schemas.openxmlformats.org/officeDocument/2006/relationships/hyperlink" Target="https://www.ihu.unisinos.br/categorias/647033-sede-da-cop30-belem-tem-comunidades-que-sofrem-com-poluicao-e-falta-de-agua-potavel" TargetMode="External"/><Relationship Id="rId11" Type="http://schemas.openxmlformats.org/officeDocument/2006/relationships/hyperlink" Target="https://www.ihu.unisinos.br/categorias/588214-gentrificacao-resposta-radical-em-berlim" TargetMode="External"/><Relationship Id="rId24" Type="http://schemas.openxmlformats.org/officeDocument/2006/relationships/hyperlink" Target="https://www.ihu.unisinos.br/653556-sustentabilidade-de-fachada-o-outro-lado-da-cop30-em-belem-entrevista-especial-com-juliano-pamplona-ximenes-ponte?utm_campaign=newsletter_ihu__23-06-2025&amp;utm_medium=email&amp;utm_source=RD+Station" TargetMode="External"/><Relationship Id="rId5" Type="http://schemas.openxmlformats.org/officeDocument/2006/relationships/hyperlink" Target="https://www.ihu.unisinos.br/categorias/653209-70-dos-brasileiros-ainda-nao-sabem-o-que-e-a-cop30" TargetMode="External"/><Relationship Id="rId15" Type="http://schemas.openxmlformats.org/officeDocument/2006/relationships/hyperlink" Target="https://www.ihu.unisinos.br/514911" TargetMode="External"/><Relationship Id="rId23" Type="http://schemas.openxmlformats.org/officeDocument/2006/relationships/hyperlink" Target="https://www.ihu.unisinos.br/630284" TargetMode="External"/><Relationship Id="rId10" Type="http://schemas.openxmlformats.org/officeDocument/2006/relationships/hyperlink" Target="https://ihu.unisinos.br/categorias/159-entrevistas/653248-modus-operandi-dos-megaeventos-e-potencializado-em-belem-a-cop-como-negocio-esta-acontecendo-em-todas-as-esferas-entrevista-especial-com-olga-lucia-castreghini-de-freitas" TargetMode="External"/><Relationship Id="rId19" Type="http://schemas.openxmlformats.org/officeDocument/2006/relationships/hyperlink" Target="https://www.ihu.unisinos.br/categorias/615654-barcarena-uma-chernobyl-na-amazonia" TargetMode="Externa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s://www.ihu.unisinos.br/categorias/636915-amazonia-entre-a-crise-ambiental-e-o-neoextrativismo-artigo-de-jose-raimundo-trindade" TargetMode="External"/><Relationship Id="rId22" Type="http://schemas.openxmlformats.org/officeDocument/2006/relationships/hyperlink" Target="https://www.ihu.unisinos.br/categorias/604876-como-fortalecer-as-cidades-por-meio-das-solucoes-baseadas-na-natureza-sb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3811</Words>
  <Characters>20964</Characters>
  <Application>Microsoft Office Word</Application>
  <DocSecurity>0</DocSecurity>
  <Lines>174</Lines>
  <Paragraphs>49</Paragraphs>
  <ScaleCrop>false</ScaleCrop>
  <Company/>
  <LinksUpToDate>false</LinksUpToDate>
  <CharactersWithSpaces>24726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3</cp:revision>
  <dcterms:created xsi:type="dcterms:W3CDTF">2025-06-25T09:29:00Z</dcterms:created>
  <dcterms:modified xsi:type="dcterms:W3CDTF">2025-06-25T09:32:00Z</dcterms:modified>
</cp:coreProperties>
</file>