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7E34" w14:textId="77777777" w:rsidR="00394EB6" w:rsidRPr="00394EB6" w:rsidRDefault="00394EB6" w:rsidP="00394EB6">
      <w:pPr>
        <w:spacing w:after="0" w:line="435" w:lineRule="atLeast"/>
        <w:outlineLvl w:val="0"/>
        <w:rPr>
          <w:rFonts w:ascii="Open Sans" w:eastAsia="Times New Roman" w:hAnsi="Open Sans" w:cs="Open Sans"/>
          <w:b/>
          <w:bCs/>
          <w:color w:val="333333"/>
          <w:kern w:val="36"/>
          <w:sz w:val="38"/>
          <w:szCs w:val="38"/>
          <w:lang w:eastAsia="es-UY"/>
          <w14:ligatures w14:val="none"/>
        </w:rPr>
      </w:pPr>
      <w:r w:rsidRPr="00394EB6">
        <w:rPr>
          <w:rFonts w:ascii="Open Sans" w:eastAsia="Times New Roman" w:hAnsi="Open Sans" w:cs="Open Sans"/>
          <w:b/>
          <w:bCs/>
          <w:i/>
          <w:iCs/>
          <w:color w:val="D49400"/>
          <w:kern w:val="36"/>
          <w:sz w:val="21"/>
          <w:szCs w:val="21"/>
          <w:lang w:eastAsia="es-UY"/>
          <w14:ligatures w14:val="none"/>
        </w:rPr>
        <w:t xml:space="preserve">La Secretaría General publica las "pistas para la fase de </w:t>
      </w:r>
      <w:proofErr w:type="spellStart"/>
      <w:r w:rsidRPr="00394EB6">
        <w:rPr>
          <w:rFonts w:ascii="Open Sans" w:eastAsia="Times New Roman" w:hAnsi="Open Sans" w:cs="Open Sans"/>
          <w:b/>
          <w:bCs/>
          <w:i/>
          <w:iCs/>
          <w:color w:val="D49400"/>
          <w:kern w:val="36"/>
          <w:sz w:val="21"/>
          <w:szCs w:val="21"/>
          <w:lang w:eastAsia="es-UY"/>
          <w14:ligatures w14:val="none"/>
        </w:rPr>
        <w:t>implementación"</w:t>
      </w:r>
      <w:r w:rsidRPr="00394EB6">
        <w:rPr>
          <w:rFonts w:ascii="Open Sans" w:eastAsia="Times New Roman" w:hAnsi="Open Sans" w:cs="Open Sans"/>
          <w:b/>
          <w:bCs/>
          <w:color w:val="333333"/>
          <w:kern w:val="36"/>
          <w:sz w:val="38"/>
          <w:szCs w:val="38"/>
          <w:lang w:eastAsia="es-UY"/>
          <w14:ligatures w14:val="none"/>
        </w:rPr>
        <w:t>El</w:t>
      </w:r>
      <w:proofErr w:type="spellEnd"/>
      <w:r w:rsidRPr="00394EB6">
        <w:rPr>
          <w:rFonts w:ascii="Open Sans" w:eastAsia="Times New Roman" w:hAnsi="Open Sans" w:cs="Open Sans"/>
          <w:b/>
          <w:bCs/>
          <w:color w:val="333333"/>
          <w:kern w:val="36"/>
          <w:sz w:val="38"/>
          <w:szCs w:val="38"/>
          <w:lang w:eastAsia="es-UY"/>
          <w14:ligatures w14:val="none"/>
        </w:rPr>
        <w:t xml:space="preserve"> Sínodo continúa su camino reclamando "experimentar" nuevas formas de ministerio para laicos (y mujeres) "que respondan a las necesidades pastorales"</w:t>
      </w:r>
    </w:p>
    <w:p w14:paraId="7EB23CF2" w14:textId="77777777" w:rsidR="00394EB6" w:rsidRPr="00394EB6" w:rsidRDefault="00394EB6" w:rsidP="00394EB6">
      <w:pPr>
        <w:spacing w:after="0" w:line="240" w:lineRule="auto"/>
        <w:rPr>
          <w:rFonts w:ascii="Times New Roman" w:eastAsia="Times New Roman" w:hAnsi="Times New Roman" w:cs="Times New Roman"/>
          <w:kern w:val="0"/>
          <w:sz w:val="24"/>
          <w:szCs w:val="24"/>
          <w:lang w:eastAsia="es-UY"/>
          <w14:ligatures w14:val="none"/>
        </w:rPr>
      </w:pPr>
      <w:r w:rsidRPr="00394EB6">
        <w:rPr>
          <w:rFonts w:ascii="Times New Roman" w:eastAsia="Times New Roman" w:hAnsi="Times New Roman" w:cs="Times New Roman"/>
          <w:noProof/>
          <w:kern w:val="0"/>
          <w:sz w:val="24"/>
          <w:szCs w:val="24"/>
          <w:lang w:eastAsia="es-UY"/>
          <w14:ligatures w14:val="none"/>
        </w:rPr>
        <w:drawing>
          <wp:inline distT="0" distB="0" distL="0" distR="0" wp14:anchorId="05483387" wp14:editId="3DED78F7">
            <wp:extent cx="6286500" cy="3530600"/>
            <wp:effectExtent l="0" t="0" r="0" b="0"/>
            <wp:docPr id="1" name="Imagen 2" descr="Sínodo de la Sinod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ínodo de la Sinodalid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14:paraId="16D908A0" w14:textId="77777777" w:rsidR="00394EB6" w:rsidRPr="00394EB6" w:rsidRDefault="00394EB6" w:rsidP="00394EB6">
      <w:pPr>
        <w:spacing w:line="240" w:lineRule="auto"/>
        <w:rPr>
          <w:rFonts w:ascii="Times New Roman" w:eastAsia="Times New Roman" w:hAnsi="Times New Roman" w:cs="Times New Roman"/>
          <w:kern w:val="0"/>
          <w:sz w:val="24"/>
          <w:szCs w:val="24"/>
          <w:lang w:eastAsia="es-UY"/>
          <w14:ligatures w14:val="none"/>
        </w:rPr>
      </w:pPr>
      <w:r w:rsidRPr="00394EB6">
        <w:rPr>
          <w:rFonts w:ascii="Times New Roman" w:eastAsia="Times New Roman" w:hAnsi="Times New Roman" w:cs="Times New Roman"/>
          <w:kern w:val="0"/>
          <w:sz w:val="24"/>
          <w:szCs w:val="24"/>
          <w:lang w:eastAsia="es-UY"/>
          <w14:ligatures w14:val="none"/>
        </w:rPr>
        <w:t>Sínodo de la Sinodalidad</w:t>
      </w:r>
    </w:p>
    <w:p w14:paraId="3FFF2EB6" w14:textId="77777777" w:rsidR="00394EB6" w:rsidRPr="00394EB6" w:rsidRDefault="00394EB6" w:rsidP="00394EB6">
      <w:pPr>
        <w:spacing w:after="120" w:line="345" w:lineRule="atLeast"/>
        <w:jc w:val="both"/>
        <w:outlineLvl w:val="1"/>
        <w:rPr>
          <w:rFonts w:ascii="Montserrat" w:eastAsia="Times New Roman" w:hAnsi="Montserrat" w:cs="Times New Roman"/>
          <w:b/>
          <w:bCs/>
          <w:color w:val="BF4E14" w:themeColor="accent2" w:themeShade="BF"/>
          <w:kern w:val="0"/>
          <w:sz w:val="26"/>
          <w:szCs w:val="26"/>
          <w:lang w:eastAsia="es-UY"/>
          <w14:ligatures w14:val="none"/>
        </w:rPr>
      </w:pPr>
      <w:r w:rsidRPr="00394EB6">
        <w:rPr>
          <w:rFonts w:ascii="Montserrat" w:eastAsia="Times New Roman" w:hAnsi="Montserrat" w:cs="Times New Roman"/>
          <w:b/>
          <w:bCs/>
          <w:color w:val="BF4E14" w:themeColor="accent2" w:themeShade="BF"/>
          <w:kern w:val="0"/>
          <w:sz w:val="26"/>
          <w:szCs w:val="26"/>
          <w:lang w:eastAsia="es-UY"/>
          <w14:ligatures w14:val="none"/>
        </w:rPr>
        <w:t>Entre las 'pistas'  la "promoción de la espiritualidad sinodal", el "acceso efectivo a funciones de responsabilidad y a roles de guía que no requieren el sacramento del Orden por parte de mujeres y hombres no ordenados, tanto laicos como consagrados" o la "experimentación de formas de servicio y ministerio que respondan a las necesidades pastorales en los distintos contextos", </w:t>
      </w:r>
      <w:hyperlink r:id="rId6" w:history="1">
        <w:r w:rsidRPr="00394EB6">
          <w:rPr>
            <w:rFonts w:ascii="Montserrat" w:eastAsia="Times New Roman" w:hAnsi="Montserrat" w:cs="Times New Roman"/>
            <w:b/>
            <w:bCs/>
            <w:color w:val="BF4E14" w:themeColor="accent2" w:themeShade="BF"/>
            <w:kern w:val="0"/>
            <w:sz w:val="26"/>
            <w:szCs w:val="26"/>
            <w:lang w:eastAsia="es-UY"/>
            <w14:ligatures w14:val="none"/>
          </w:rPr>
          <w:t>siguiendo los puntos 75 a 77 del Documento Final del Sínodo</w:t>
        </w:r>
      </w:hyperlink>
    </w:p>
    <w:p w14:paraId="3BAFD595" w14:textId="77777777" w:rsidR="00394EB6" w:rsidRPr="00394EB6" w:rsidRDefault="00394EB6" w:rsidP="00394EB6">
      <w:pPr>
        <w:spacing w:after="120" w:line="345" w:lineRule="atLeast"/>
        <w:jc w:val="both"/>
        <w:outlineLvl w:val="1"/>
        <w:rPr>
          <w:rFonts w:ascii="Montserrat" w:eastAsia="Times New Roman" w:hAnsi="Montserrat" w:cs="Times New Roman"/>
          <w:b/>
          <w:bCs/>
          <w:color w:val="BF4E14" w:themeColor="accent2" w:themeShade="BF"/>
          <w:kern w:val="0"/>
          <w:sz w:val="26"/>
          <w:szCs w:val="26"/>
          <w:lang w:eastAsia="es-UY"/>
          <w14:ligatures w14:val="none"/>
        </w:rPr>
      </w:pPr>
      <w:r w:rsidRPr="00394EB6">
        <w:rPr>
          <w:rFonts w:ascii="Montserrat" w:eastAsia="Times New Roman" w:hAnsi="Montserrat" w:cs="Times New Roman"/>
          <w:b/>
          <w:bCs/>
          <w:color w:val="BF4E14" w:themeColor="accent2" w:themeShade="BF"/>
          <w:kern w:val="0"/>
          <w:sz w:val="26"/>
          <w:szCs w:val="26"/>
          <w:lang w:eastAsia="es-UY"/>
          <w14:ligatures w14:val="none"/>
        </w:rPr>
        <w:t xml:space="preserve">También se apunta a la primacía del "discernimiento eclesial", puro pensamiento Bergoglio, o "la activación de procesos decisorios de estilo sinodal", y "la experimentación de formas adecuadas de transparencia, rendición de cuentas y evaluación". Al tiempo, se recuerda "la obligatoriedad en las diócesis y parroquias de los organismos de participación </w:t>
      </w:r>
      <w:r w:rsidRPr="00394EB6">
        <w:rPr>
          <w:rFonts w:ascii="Montserrat" w:eastAsia="Times New Roman" w:hAnsi="Montserrat" w:cs="Times New Roman"/>
          <w:b/>
          <w:bCs/>
          <w:color w:val="BF4E14" w:themeColor="accent2" w:themeShade="BF"/>
          <w:kern w:val="0"/>
          <w:sz w:val="26"/>
          <w:szCs w:val="26"/>
          <w:lang w:eastAsia="es-UY"/>
          <w14:ligatures w14:val="none"/>
        </w:rPr>
        <w:lastRenderedPageBreak/>
        <w:t>previstos por el derecho, y la renovación de sus modalidades de funcionamiento en clave sinodal"</w:t>
      </w:r>
    </w:p>
    <w:p w14:paraId="63A18A52" w14:textId="77777777" w:rsidR="00394EB6" w:rsidRPr="00394EB6" w:rsidRDefault="00394EB6" w:rsidP="00394EB6">
      <w:pPr>
        <w:spacing w:after="150" w:line="240" w:lineRule="auto"/>
        <w:rPr>
          <w:rFonts w:ascii="inherit" w:eastAsia="Times New Roman" w:hAnsi="inherit" w:cs="Times New Roman"/>
          <w:b/>
          <w:bCs/>
          <w:i/>
          <w:iCs/>
          <w:color w:val="333333"/>
          <w:kern w:val="0"/>
          <w:sz w:val="20"/>
          <w:szCs w:val="20"/>
          <w:lang w:eastAsia="es-UY"/>
          <w14:ligatures w14:val="none"/>
        </w:rPr>
      </w:pPr>
      <w:r w:rsidRPr="00394EB6">
        <w:rPr>
          <w:rFonts w:ascii="inherit" w:eastAsia="Times New Roman" w:hAnsi="inherit" w:cs="Times New Roman"/>
          <w:b/>
          <w:bCs/>
          <w:i/>
          <w:iCs/>
          <w:color w:val="333333"/>
          <w:kern w:val="0"/>
          <w:sz w:val="20"/>
          <w:szCs w:val="20"/>
          <w:lang w:eastAsia="es-UY"/>
          <w14:ligatures w14:val="none"/>
        </w:rPr>
        <w:t>07.07.2025 </w:t>
      </w:r>
      <w:hyperlink r:id="rId7" w:history="1">
        <w:r w:rsidRPr="00394EB6">
          <w:rPr>
            <w:rFonts w:ascii="inherit" w:eastAsia="Times New Roman" w:hAnsi="inherit" w:cs="Times New Roman"/>
            <w:b/>
            <w:bCs/>
            <w:i/>
            <w:iCs/>
            <w:color w:val="D49400"/>
            <w:kern w:val="0"/>
            <w:sz w:val="20"/>
            <w:szCs w:val="20"/>
            <w:lang w:eastAsia="es-UY"/>
            <w14:ligatures w14:val="none"/>
          </w:rPr>
          <w:t>Jesús Bastante</w:t>
        </w:r>
      </w:hyperlink>
    </w:p>
    <w:p w14:paraId="474459C9" w14:textId="77777777" w:rsidR="00394EB6" w:rsidRPr="00394EB6" w:rsidRDefault="00394EB6" w:rsidP="00394EB6">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394EB6">
        <w:rPr>
          <w:rFonts w:ascii="Open Sans" w:eastAsia="Times New Roman" w:hAnsi="Open Sans" w:cs="Open Sans"/>
          <w:color w:val="333333"/>
          <w:kern w:val="0"/>
          <w:sz w:val="24"/>
          <w:szCs w:val="24"/>
          <w:lang w:eastAsia="es-UY"/>
          <w14:ligatures w14:val="none"/>
        </w:rPr>
        <w:t>"Las Iglesias locales serán llamadas a compartir los pasos dados en algunos ámbitos específicos, según las modalidades y formas que parezcan más oportunas". La Secretaría General del Sínodo ha publicado sus</w:t>
      </w:r>
      <w:hyperlink r:id="rId8" w:history="1">
        <w:r w:rsidRPr="00394EB6">
          <w:rPr>
            <w:rFonts w:ascii="Open Sans" w:eastAsia="Times New Roman" w:hAnsi="Open Sans" w:cs="Open Sans"/>
            <w:color w:val="D49400"/>
            <w:kern w:val="0"/>
            <w:sz w:val="24"/>
            <w:szCs w:val="24"/>
            <w:lang w:eastAsia="es-UY"/>
            <w14:ligatures w14:val="none"/>
          </w:rPr>
          <w:t> "pistas para la fase de implementación</w:t>
        </w:r>
      </w:hyperlink>
      <w:r w:rsidRPr="00394EB6">
        <w:rPr>
          <w:rFonts w:ascii="Open Sans" w:eastAsia="Times New Roman" w:hAnsi="Open Sans" w:cs="Open Sans"/>
          <w:color w:val="333333"/>
          <w:kern w:val="0"/>
          <w:sz w:val="24"/>
          <w:szCs w:val="24"/>
          <w:lang w:eastAsia="es-UY"/>
          <w14:ligatures w14:val="none"/>
        </w:rPr>
        <w:t>" del proceso sinodal universal, que se prolongará, al menos, hasta 2028. Entre ellas, la "promoción de la espiritualidad sinodal", el "acceso efectivo </w:t>
      </w:r>
      <w:r w:rsidRPr="00394EB6">
        <w:rPr>
          <w:rFonts w:ascii="Open Sans" w:eastAsia="Times New Roman" w:hAnsi="Open Sans" w:cs="Open Sans"/>
          <w:b/>
          <w:bCs/>
          <w:color w:val="474747"/>
          <w:kern w:val="0"/>
          <w:sz w:val="24"/>
          <w:szCs w:val="24"/>
          <w:lang w:eastAsia="es-UY"/>
          <w14:ligatures w14:val="none"/>
        </w:rPr>
        <w:t>a funciones de responsabilidad </w:t>
      </w:r>
      <w:r w:rsidRPr="00394EB6">
        <w:rPr>
          <w:rFonts w:ascii="Open Sans" w:eastAsia="Times New Roman" w:hAnsi="Open Sans" w:cs="Open Sans"/>
          <w:color w:val="333333"/>
          <w:kern w:val="0"/>
          <w:sz w:val="24"/>
          <w:szCs w:val="24"/>
          <w:lang w:eastAsia="es-UY"/>
          <w14:ligatures w14:val="none"/>
        </w:rPr>
        <w:t>y a roles de guía que no requieren el sacramento del Orden por parte de mujeres y hombres no ordenados, tanto laicos como consagrados" o la "experimentación de </w:t>
      </w:r>
      <w:r w:rsidRPr="00394EB6">
        <w:rPr>
          <w:rFonts w:ascii="Open Sans" w:eastAsia="Times New Roman" w:hAnsi="Open Sans" w:cs="Open Sans"/>
          <w:b/>
          <w:bCs/>
          <w:color w:val="474747"/>
          <w:kern w:val="0"/>
          <w:sz w:val="24"/>
          <w:szCs w:val="24"/>
          <w:lang w:eastAsia="es-UY"/>
          <w14:ligatures w14:val="none"/>
        </w:rPr>
        <w:t>formas de servicio y ministerio </w:t>
      </w:r>
      <w:r w:rsidRPr="00394EB6">
        <w:rPr>
          <w:rFonts w:ascii="Open Sans" w:eastAsia="Times New Roman" w:hAnsi="Open Sans" w:cs="Open Sans"/>
          <w:color w:val="333333"/>
          <w:kern w:val="0"/>
          <w:sz w:val="24"/>
          <w:szCs w:val="24"/>
          <w:lang w:eastAsia="es-UY"/>
          <w14:ligatures w14:val="none"/>
        </w:rPr>
        <w:t>que respondan a las necesidades pastorales en los distintos contextos", </w:t>
      </w:r>
      <w:hyperlink r:id="rId9" w:history="1">
        <w:r w:rsidRPr="00394EB6">
          <w:rPr>
            <w:rFonts w:ascii="Open Sans" w:eastAsia="Times New Roman" w:hAnsi="Open Sans" w:cs="Open Sans"/>
            <w:color w:val="D49400"/>
            <w:kern w:val="0"/>
            <w:sz w:val="24"/>
            <w:szCs w:val="24"/>
            <w:lang w:eastAsia="es-UY"/>
            <w14:ligatures w14:val="none"/>
          </w:rPr>
          <w:t>siguiendo los puntos 75 a 77 del Documento Final del Sínodo.</w:t>
        </w:r>
      </w:hyperlink>
    </w:p>
    <w:p w14:paraId="29F359E0" w14:textId="77777777" w:rsidR="00394EB6" w:rsidRPr="00394EB6" w:rsidRDefault="00394EB6" w:rsidP="00394EB6">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394EB6">
        <w:rPr>
          <w:rFonts w:ascii="Open Sans" w:eastAsia="Times New Roman" w:hAnsi="Open Sans" w:cs="Open Sans"/>
          <w:color w:val="333333"/>
          <w:kern w:val="0"/>
          <w:sz w:val="24"/>
          <w:szCs w:val="24"/>
          <w:lang w:eastAsia="es-UY"/>
          <w14:ligatures w14:val="none"/>
        </w:rPr>
        <w:t xml:space="preserve">En dichos puntos se habla </w:t>
      </w:r>
      <w:proofErr w:type="spellStart"/>
      <w:r w:rsidRPr="00394EB6">
        <w:rPr>
          <w:rFonts w:ascii="Open Sans" w:eastAsia="Times New Roman" w:hAnsi="Open Sans" w:cs="Open Sans"/>
          <w:color w:val="333333"/>
          <w:kern w:val="0"/>
          <w:sz w:val="24"/>
          <w:szCs w:val="24"/>
          <w:lang w:eastAsia="es-UY"/>
          <w14:ligatures w14:val="none"/>
        </w:rPr>
        <w:t>explicitamente</w:t>
      </w:r>
      <w:proofErr w:type="spellEnd"/>
      <w:r w:rsidRPr="00394EB6">
        <w:rPr>
          <w:rFonts w:ascii="Open Sans" w:eastAsia="Times New Roman" w:hAnsi="Open Sans" w:cs="Open Sans"/>
          <w:color w:val="333333"/>
          <w:kern w:val="0"/>
          <w:sz w:val="24"/>
          <w:szCs w:val="24"/>
          <w:lang w:eastAsia="es-UY"/>
          <w14:ligatures w14:val="none"/>
        </w:rPr>
        <w:t xml:space="preserve"> del "</w:t>
      </w:r>
      <w:r w:rsidRPr="00394EB6">
        <w:rPr>
          <w:rFonts w:ascii="Open Sans" w:eastAsia="Times New Roman" w:hAnsi="Open Sans" w:cs="Open Sans"/>
          <w:b/>
          <w:bCs/>
          <w:color w:val="474747"/>
          <w:kern w:val="0"/>
          <w:sz w:val="24"/>
          <w:szCs w:val="24"/>
          <w:lang w:eastAsia="es-UY"/>
          <w14:ligatures w14:val="none"/>
        </w:rPr>
        <w:t>ministerio del lector y del acólito</w:t>
      </w:r>
      <w:r w:rsidRPr="00394EB6">
        <w:rPr>
          <w:rFonts w:ascii="Open Sans" w:eastAsia="Times New Roman" w:hAnsi="Open Sans" w:cs="Open Sans"/>
          <w:color w:val="333333"/>
          <w:kern w:val="0"/>
          <w:sz w:val="24"/>
          <w:szCs w:val="24"/>
          <w:lang w:eastAsia="es-UY"/>
          <w14:ligatures w14:val="none"/>
        </w:rPr>
        <w:t>", pero también de "ministerios no instituidos ritualmente, pero ejercidos con estabilidad por mandato de la autoridad competente, como, por ejemplo, el ministerio de coordinar una pequeña comunidad eclesial, dirigir la oración comunitaria, organizar acciones caritativas, etc., que admiten una gran variedad según las características de la comunidad local", o "</w:t>
      </w:r>
      <w:r w:rsidRPr="00394EB6">
        <w:rPr>
          <w:rFonts w:ascii="Open Sans" w:eastAsia="Times New Roman" w:hAnsi="Open Sans" w:cs="Open Sans"/>
          <w:b/>
          <w:bCs/>
          <w:color w:val="474747"/>
          <w:kern w:val="0"/>
          <w:sz w:val="24"/>
          <w:szCs w:val="24"/>
          <w:lang w:eastAsia="es-UY"/>
          <w14:ligatures w14:val="none"/>
        </w:rPr>
        <w:t>ministerios extraordinarios</w:t>
      </w:r>
      <w:r w:rsidRPr="00394EB6">
        <w:rPr>
          <w:rFonts w:ascii="Open Sans" w:eastAsia="Times New Roman" w:hAnsi="Open Sans" w:cs="Open Sans"/>
          <w:color w:val="333333"/>
          <w:kern w:val="0"/>
          <w:sz w:val="24"/>
          <w:szCs w:val="24"/>
          <w:lang w:eastAsia="es-UY"/>
          <w14:ligatures w14:val="none"/>
        </w:rPr>
        <w:t>, como el ministerio extraordinario de la comunión, la presidencia de las celebraciones dominicales en espera de presbítero, la administración de ciertos sacramentales y otros".</w:t>
      </w:r>
    </w:p>
    <w:p w14:paraId="77CBA649" w14:textId="77777777" w:rsidR="00394EB6" w:rsidRPr="00394EB6" w:rsidRDefault="00394EB6" w:rsidP="00394EB6">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394EB6">
        <w:rPr>
          <w:rFonts w:ascii="Open Sans" w:eastAsia="Times New Roman" w:hAnsi="Open Sans" w:cs="Open Sans"/>
          <w:noProof/>
          <w:color w:val="000000"/>
          <w:kern w:val="0"/>
          <w:sz w:val="21"/>
          <w:szCs w:val="21"/>
          <w:lang w:eastAsia="es-UY"/>
          <w14:ligatures w14:val="none"/>
        </w:rPr>
        <w:drawing>
          <wp:inline distT="0" distB="0" distL="0" distR="0" wp14:anchorId="5A467B0A" wp14:editId="6D73A337">
            <wp:extent cx="5191396" cy="2914650"/>
            <wp:effectExtent l="0" t="0" r="9525" b="0"/>
            <wp:docPr id="2" name="Imagen 1" descr="El Consejo Ordinario del Sínodo, con el Papa León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Consejo Ordinario del Sínodo, con el Papa León XI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6221" cy="2917359"/>
                    </a:xfrm>
                    <a:prstGeom prst="rect">
                      <a:avLst/>
                    </a:prstGeom>
                    <a:noFill/>
                    <a:ln>
                      <a:noFill/>
                    </a:ln>
                  </pic:spPr>
                </pic:pic>
              </a:graphicData>
            </a:graphic>
          </wp:inline>
        </w:drawing>
      </w:r>
    </w:p>
    <w:p w14:paraId="5AB73C66" w14:textId="77777777" w:rsidR="00394EB6" w:rsidRPr="00394EB6" w:rsidRDefault="00394EB6" w:rsidP="00394EB6">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394EB6">
        <w:rPr>
          <w:rFonts w:ascii="Open Sans" w:eastAsia="Times New Roman" w:hAnsi="Open Sans" w:cs="Open Sans"/>
          <w:color w:val="000000"/>
          <w:kern w:val="0"/>
          <w:sz w:val="21"/>
          <w:szCs w:val="21"/>
          <w:lang w:eastAsia="es-UY"/>
          <w14:ligatures w14:val="none"/>
        </w:rPr>
        <w:t>El Consejo Ordinario del Sínodo, con el Papa León XIV </w:t>
      </w:r>
      <w:proofErr w:type="spellStart"/>
      <w:r w:rsidRPr="00394EB6">
        <w:rPr>
          <w:rFonts w:ascii="Open Sans" w:eastAsia="Times New Roman" w:hAnsi="Open Sans" w:cs="Open Sans"/>
          <w:color w:val="8C8C8C"/>
          <w:kern w:val="0"/>
          <w:sz w:val="21"/>
          <w:szCs w:val="21"/>
          <w:lang w:eastAsia="es-UY"/>
          <w14:ligatures w14:val="none"/>
        </w:rPr>
        <w:t>Synod.va</w:t>
      </w:r>
      <w:proofErr w:type="spellEnd"/>
    </w:p>
    <w:p w14:paraId="4294F4E3" w14:textId="77777777" w:rsidR="00394EB6" w:rsidRPr="00394EB6" w:rsidRDefault="00394EB6" w:rsidP="00394EB6">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394EB6">
        <w:rPr>
          <w:rFonts w:ascii="Open Sans" w:eastAsia="Times New Roman" w:hAnsi="Open Sans" w:cs="Open Sans"/>
          <w:color w:val="333333"/>
          <w:kern w:val="0"/>
          <w:sz w:val="24"/>
          <w:szCs w:val="24"/>
          <w:lang w:eastAsia="es-UY"/>
          <w14:ligatures w14:val="none"/>
        </w:rPr>
        <w:lastRenderedPageBreak/>
        <w:t>Junto a ello, las "pistas" publicadas hoy apuntan a la primacía del "discernimiento eclesial", puro pensamiento Bergoglio, o "la activación de </w:t>
      </w:r>
      <w:r w:rsidRPr="00394EB6">
        <w:rPr>
          <w:rFonts w:ascii="Open Sans" w:eastAsia="Times New Roman" w:hAnsi="Open Sans" w:cs="Open Sans"/>
          <w:b/>
          <w:bCs/>
          <w:color w:val="474747"/>
          <w:kern w:val="0"/>
          <w:sz w:val="24"/>
          <w:szCs w:val="24"/>
          <w:lang w:eastAsia="es-UY"/>
          <w14:ligatures w14:val="none"/>
        </w:rPr>
        <w:t>procesos decisorios de estilo sinodal", y "</w:t>
      </w:r>
      <w:r w:rsidRPr="00394EB6">
        <w:rPr>
          <w:rFonts w:ascii="Open Sans" w:eastAsia="Times New Roman" w:hAnsi="Open Sans" w:cs="Open Sans"/>
          <w:color w:val="333333"/>
          <w:kern w:val="0"/>
          <w:sz w:val="24"/>
          <w:szCs w:val="24"/>
          <w:lang w:eastAsia="es-UY"/>
          <w14:ligatures w14:val="none"/>
        </w:rPr>
        <w:t>la experimentación de </w:t>
      </w:r>
      <w:r w:rsidRPr="00394EB6">
        <w:rPr>
          <w:rFonts w:ascii="Open Sans" w:eastAsia="Times New Roman" w:hAnsi="Open Sans" w:cs="Open Sans"/>
          <w:b/>
          <w:bCs/>
          <w:color w:val="474747"/>
          <w:kern w:val="0"/>
          <w:sz w:val="24"/>
          <w:szCs w:val="24"/>
          <w:lang w:eastAsia="es-UY"/>
          <w14:ligatures w14:val="none"/>
        </w:rPr>
        <w:t>formas adecuadas de transparencia, rendición de cuentas y evaluación". </w:t>
      </w:r>
      <w:r w:rsidRPr="00394EB6">
        <w:rPr>
          <w:rFonts w:ascii="Open Sans" w:eastAsia="Times New Roman" w:hAnsi="Open Sans" w:cs="Open Sans"/>
          <w:color w:val="333333"/>
          <w:kern w:val="0"/>
          <w:sz w:val="24"/>
          <w:szCs w:val="24"/>
          <w:lang w:eastAsia="es-UY"/>
          <w14:ligatures w14:val="none"/>
        </w:rPr>
        <w:t>Al tiempo, se recuerda "</w:t>
      </w:r>
      <w:r w:rsidRPr="00394EB6">
        <w:rPr>
          <w:rFonts w:ascii="Open Sans" w:eastAsia="Times New Roman" w:hAnsi="Open Sans" w:cs="Open Sans"/>
          <w:b/>
          <w:bCs/>
          <w:color w:val="474747"/>
          <w:kern w:val="0"/>
          <w:sz w:val="24"/>
          <w:szCs w:val="24"/>
          <w:lang w:eastAsia="es-UY"/>
          <w14:ligatures w14:val="none"/>
        </w:rPr>
        <w:t>l</w:t>
      </w:r>
      <w:r w:rsidRPr="00394EB6">
        <w:rPr>
          <w:rFonts w:ascii="Open Sans" w:eastAsia="Times New Roman" w:hAnsi="Open Sans" w:cs="Open Sans"/>
          <w:color w:val="333333"/>
          <w:kern w:val="0"/>
          <w:sz w:val="24"/>
          <w:szCs w:val="24"/>
          <w:lang w:eastAsia="es-UY"/>
          <w14:ligatures w14:val="none"/>
        </w:rPr>
        <w:t>a obligatoriedad en las diócesis y parroquias de los </w:t>
      </w:r>
      <w:r w:rsidRPr="00394EB6">
        <w:rPr>
          <w:rFonts w:ascii="Open Sans" w:eastAsia="Times New Roman" w:hAnsi="Open Sans" w:cs="Open Sans"/>
          <w:b/>
          <w:bCs/>
          <w:color w:val="474747"/>
          <w:kern w:val="0"/>
          <w:sz w:val="24"/>
          <w:szCs w:val="24"/>
          <w:lang w:eastAsia="es-UY"/>
          <w14:ligatures w14:val="none"/>
        </w:rPr>
        <w:t>organismos de participación </w:t>
      </w:r>
      <w:r w:rsidRPr="00394EB6">
        <w:rPr>
          <w:rFonts w:ascii="Open Sans" w:eastAsia="Times New Roman" w:hAnsi="Open Sans" w:cs="Open Sans"/>
          <w:color w:val="333333"/>
          <w:kern w:val="0"/>
          <w:sz w:val="24"/>
          <w:szCs w:val="24"/>
          <w:lang w:eastAsia="es-UY"/>
          <w14:ligatures w14:val="none"/>
        </w:rPr>
        <w:t>previstos por el derecho, y la renovación de sus modalidades de funcionamiento en clave sinodal".</w:t>
      </w:r>
    </w:p>
    <w:p w14:paraId="67838E84" w14:textId="77777777" w:rsidR="00394EB6" w:rsidRPr="00394EB6" w:rsidRDefault="00394EB6" w:rsidP="00394EB6">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394EB6">
        <w:rPr>
          <w:rFonts w:ascii="Open Sans" w:eastAsia="Times New Roman" w:hAnsi="Open Sans" w:cs="Open Sans"/>
          <w:color w:val="333333"/>
          <w:kern w:val="0"/>
          <w:sz w:val="24"/>
          <w:szCs w:val="24"/>
          <w:lang w:eastAsia="es-UY"/>
          <w14:ligatures w14:val="none"/>
        </w:rPr>
        <w:t>Las "pistas", de 18 páginas, han sido elaboradas por la Secretaría General del Sínodo, avaladas por el Consejo Ordinario y aprobadas por León XIV, y marcan el itinerario completo de aquí a 2028. Son "un instrumento para </w:t>
      </w:r>
      <w:r w:rsidRPr="00394EB6">
        <w:rPr>
          <w:rFonts w:ascii="Open Sans" w:eastAsia="Times New Roman" w:hAnsi="Open Sans" w:cs="Open Sans"/>
          <w:b/>
          <w:bCs/>
          <w:color w:val="474747"/>
          <w:kern w:val="0"/>
          <w:sz w:val="24"/>
          <w:szCs w:val="24"/>
          <w:lang w:eastAsia="es-UY"/>
          <w14:ligatures w14:val="none"/>
        </w:rPr>
        <w:t>acompañar la última fase del proceso sinodal"</w:t>
      </w:r>
      <w:r w:rsidRPr="00394EB6">
        <w:rPr>
          <w:rFonts w:ascii="Open Sans" w:eastAsia="Times New Roman" w:hAnsi="Open Sans" w:cs="Open Sans"/>
          <w:color w:val="333333"/>
          <w:kern w:val="0"/>
          <w:sz w:val="24"/>
          <w:szCs w:val="24"/>
          <w:lang w:eastAsia="es-UY"/>
          <w14:ligatures w14:val="none"/>
        </w:rPr>
        <w:t>, con un doble propósito. De un lado</w:t>
      </w:r>
      <w:r w:rsidRPr="00394EB6">
        <w:rPr>
          <w:rFonts w:ascii="Open Sans" w:eastAsia="Times New Roman" w:hAnsi="Open Sans" w:cs="Open Sans"/>
          <w:b/>
          <w:bCs/>
          <w:color w:val="474747"/>
          <w:kern w:val="0"/>
          <w:sz w:val="24"/>
          <w:szCs w:val="24"/>
          <w:lang w:eastAsia="es-UY"/>
          <w14:ligatures w14:val="none"/>
        </w:rPr>
        <w:t>, "</w:t>
      </w:r>
      <w:r w:rsidRPr="00394EB6">
        <w:rPr>
          <w:rFonts w:ascii="Open Sans" w:eastAsia="Times New Roman" w:hAnsi="Open Sans" w:cs="Open Sans"/>
          <w:color w:val="333333"/>
          <w:kern w:val="0"/>
          <w:sz w:val="24"/>
          <w:szCs w:val="24"/>
          <w:lang w:eastAsia="es-UY"/>
          <w14:ligatures w14:val="none"/>
        </w:rPr>
        <w:t>ofrecer a las Iglesias locales de todo el mundo un </w:t>
      </w:r>
      <w:r w:rsidRPr="00394EB6">
        <w:rPr>
          <w:rFonts w:ascii="Open Sans" w:eastAsia="Times New Roman" w:hAnsi="Open Sans" w:cs="Open Sans"/>
          <w:b/>
          <w:bCs/>
          <w:color w:val="474747"/>
          <w:kern w:val="0"/>
          <w:sz w:val="24"/>
          <w:szCs w:val="24"/>
          <w:lang w:eastAsia="es-UY"/>
          <w14:ligatures w14:val="none"/>
        </w:rPr>
        <w:t>marco de referencia</w:t>
      </w:r>
      <w:r w:rsidRPr="00394EB6">
        <w:rPr>
          <w:rFonts w:ascii="Open Sans" w:eastAsia="Times New Roman" w:hAnsi="Open Sans" w:cs="Open Sans"/>
          <w:color w:val="333333"/>
          <w:kern w:val="0"/>
          <w:sz w:val="24"/>
          <w:szCs w:val="24"/>
          <w:lang w:eastAsia="es-UY"/>
          <w14:ligatures w14:val="none"/>
        </w:rPr>
        <w:t> compartido que facilite el caminar juntos". Del otro, "</w:t>
      </w:r>
      <w:r w:rsidRPr="00394EB6">
        <w:rPr>
          <w:rFonts w:ascii="Open Sans" w:eastAsia="Times New Roman" w:hAnsi="Open Sans" w:cs="Open Sans"/>
          <w:b/>
          <w:bCs/>
          <w:color w:val="474747"/>
          <w:kern w:val="0"/>
          <w:sz w:val="24"/>
          <w:szCs w:val="24"/>
          <w:lang w:eastAsia="es-UY"/>
          <w14:ligatures w14:val="none"/>
        </w:rPr>
        <w:t>promover el diálogo </w:t>
      </w:r>
      <w:r w:rsidRPr="00394EB6">
        <w:rPr>
          <w:rFonts w:ascii="Open Sans" w:eastAsia="Times New Roman" w:hAnsi="Open Sans" w:cs="Open Sans"/>
          <w:color w:val="333333"/>
          <w:kern w:val="0"/>
          <w:sz w:val="24"/>
          <w:szCs w:val="24"/>
          <w:lang w:eastAsia="es-UY"/>
          <w14:ligatures w14:val="none"/>
        </w:rPr>
        <w:t>que conducirá a la Iglesia toda hacia la Asamblea eclesial de octubre de 2028".</w:t>
      </w:r>
    </w:p>
    <w:p w14:paraId="3CFF46EE" w14:textId="77777777" w:rsidR="00394EB6" w:rsidRPr="00394EB6" w:rsidRDefault="00394EB6" w:rsidP="00394EB6">
      <w:pPr>
        <w:shd w:val="clear" w:color="auto" w:fill="FFFFFF"/>
        <w:spacing w:before="300" w:line="300" w:lineRule="atLeast"/>
        <w:jc w:val="center"/>
        <w:rPr>
          <w:rFonts w:ascii="Montserrat" w:eastAsia="Times New Roman" w:hAnsi="Montserrat" w:cs="Times New Roman"/>
          <w:b/>
          <w:bCs/>
          <w:i/>
          <w:iCs/>
          <w:color w:val="D49400"/>
          <w:kern w:val="0"/>
          <w:sz w:val="24"/>
          <w:szCs w:val="24"/>
          <w:lang w:eastAsia="es-UY"/>
          <w14:ligatures w14:val="none"/>
        </w:rPr>
      </w:pPr>
      <w:r w:rsidRPr="00394EB6">
        <w:rPr>
          <w:rFonts w:ascii="Montserrat" w:eastAsia="Times New Roman" w:hAnsi="Montserrat" w:cs="Times New Roman"/>
          <w:b/>
          <w:bCs/>
          <w:i/>
          <w:iCs/>
          <w:color w:val="D49400"/>
          <w:kern w:val="0"/>
          <w:sz w:val="24"/>
          <w:szCs w:val="24"/>
          <w:lang w:eastAsia="es-UY"/>
          <w14:ligatures w14:val="none"/>
        </w:rPr>
        <w:t>La forma sinodal de la Iglesia está al servicio de su misión y cualquier cambio en la vida de la Iglesia tiene como objetivo hacerla mayormente capaz de anunciar el Reino de Dios y dar testimonio del Evangelio del Señor a los hombres y mujeres de nuestro tiempo"</w:t>
      </w:r>
    </w:p>
    <w:p w14:paraId="2850DE4C" w14:textId="77777777" w:rsidR="00394EB6" w:rsidRPr="00394EB6" w:rsidRDefault="00394EB6" w:rsidP="00394EB6">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394EB6">
        <w:rPr>
          <w:rFonts w:ascii="Open Sans" w:eastAsia="Times New Roman" w:hAnsi="Open Sans" w:cs="Open Sans"/>
          <w:color w:val="333333"/>
          <w:kern w:val="0"/>
          <w:sz w:val="24"/>
          <w:szCs w:val="24"/>
          <w:lang w:eastAsia="es-UY"/>
          <w14:ligatures w14:val="none"/>
        </w:rPr>
        <w:t>El texto, </w:t>
      </w:r>
      <w:r w:rsidRPr="00394EB6">
        <w:rPr>
          <w:rFonts w:ascii="Open Sans" w:eastAsia="Times New Roman" w:hAnsi="Open Sans" w:cs="Open Sans"/>
          <w:b/>
          <w:bCs/>
          <w:color w:val="474747"/>
          <w:kern w:val="0"/>
          <w:sz w:val="24"/>
          <w:szCs w:val="24"/>
          <w:lang w:eastAsia="es-UY"/>
          <w14:ligatures w14:val="none"/>
        </w:rPr>
        <w:t>organizado en cuatro capítulos</w:t>
      </w:r>
      <w:r w:rsidRPr="00394EB6">
        <w:rPr>
          <w:rFonts w:ascii="Open Sans" w:eastAsia="Times New Roman" w:hAnsi="Open Sans" w:cs="Open Sans"/>
          <w:color w:val="333333"/>
          <w:kern w:val="0"/>
          <w:sz w:val="24"/>
          <w:szCs w:val="24"/>
          <w:lang w:eastAsia="es-UY"/>
          <w14:ligatures w14:val="none"/>
        </w:rPr>
        <w:t>, pretende ofrecer, una clave interpretativa de la fase de implementación del proceso sinodal. Partiendo de esta base: "La forma sinodal de la Iglesia está al servicio de su misión y cualquier cambio en la vida de la Iglesia tiene como objetivo hacerla mayormente capaz de anunciar el Reino de Dios y dar testimonio del Evangelio del Señor a los hombres y mujeres de nuestro tiempo</w:t>
      </w:r>
      <w:r w:rsidRPr="00394EB6">
        <w:rPr>
          <w:rFonts w:ascii="Open Sans" w:eastAsia="Times New Roman" w:hAnsi="Open Sans" w:cs="Open Sans"/>
          <w:i/>
          <w:iCs/>
          <w:color w:val="474747"/>
          <w:kern w:val="0"/>
          <w:sz w:val="24"/>
          <w:szCs w:val="24"/>
          <w:lang w:eastAsia="es-UY"/>
          <w14:ligatures w14:val="none"/>
        </w:rPr>
        <w:t>".</w:t>
      </w:r>
    </w:p>
    <w:p w14:paraId="416CC82D" w14:textId="77777777" w:rsidR="00394EB6" w:rsidRPr="00394EB6" w:rsidRDefault="00394EB6" w:rsidP="00394EB6">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394EB6">
        <w:rPr>
          <w:rFonts w:ascii="Open Sans" w:eastAsia="Times New Roman" w:hAnsi="Open Sans" w:cs="Open Sans"/>
          <w:color w:val="333333"/>
          <w:kern w:val="0"/>
          <w:sz w:val="24"/>
          <w:szCs w:val="24"/>
          <w:lang w:eastAsia="es-UY"/>
          <w14:ligatures w14:val="none"/>
        </w:rPr>
        <w:t>La fase de implementación del proceso sinodal tiene como punto de referencia común el </w:t>
      </w:r>
      <w:hyperlink r:id="rId11" w:tgtFrame="_blank" w:history="1">
        <w:r w:rsidRPr="00394EB6">
          <w:rPr>
            <w:rFonts w:ascii="Open Sans" w:eastAsia="Times New Roman" w:hAnsi="Open Sans" w:cs="Open Sans"/>
            <w:i/>
            <w:iCs/>
            <w:color w:val="474747"/>
            <w:kern w:val="0"/>
            <w:sz w:val="24"/>
            <w:szCs w:val="24"/>
            <w:lang w:eastAsia="es-UY"/>
            <w14:ligatures w14:val="none"/>
          </w:rPr>
          <w:t>Documento Final</w:t>
        </w:r>
      </w:hyperlink>
      <w:r w:rsidRPr="00394EB6">
        <w:rPr>
          <w:rFonts w:ascii="Open Sans" w:eastAsia="Times New Roman" w:hAnsi="Open Sans" w:cs="Open Sans"/>
          <w:color w:val="333333"/>
          <w:kern w:val="0"/>
          <w:sz w:val="24"/>
          <w:szCs w:val="24"/>
          <w:lang w:eastAsia="es-UY"/>
          <w14:ligatures w14:val="none"/>
        </w:rPr>
        <w:t xml:space="preserve"> de la XVI Asamblea General Ordinaria del Sínodo de los Obispos, fruto de la escucha y el </w:t>
      </w:r>
      <w:proofErr w:type="gramStart"/>
      <w:r w:rsidRPr="00394EB6">
        <w:rPr>
          <w:rFonts w:ascii="Open Sans" w:eastAsia="Times New Roman" w:hAnsi="Open Sans" w:cs="Open Sans"/>
          <w:color w:val="333333"/>
          <w:kern w:val="0"/>
          <w:sz w:val="24"/>
          <w:szCs w:val="24"/>
          <w:lang w:eastAsia="es-UY"/>
          <w14:ligatures w14:val="none"/>
        </w:rPr>
        <w:t>discernimiento realizados</w:t>
      </w:r>
      <w:proofErr w:type="gramEnd"/>
      <w:r w:rsidRPr="00394EB6">
        <w:rPr>
          <w:rFonts w:ascii="Open Sans" w:eastAsia="Times New Roman" w:hAnsi="Open Sans" w:cs="Open Sans"/>
          <w:color w:val="333333"/>
          <w:kern w:val="0"/>
          <w:sz w:val="24"/>
          <w:szCs w:val="24"/>
          <w:lang w:eastAsia="es-UY"/>
          <w14:ligatures w14:val="none"/>
        </w:rPr>
        <w:t xml:space="preserve"> desde el inicio del proceso sinodal. Esta fase pertenece, ante todo, a las Iglesias locales, que son las verdaderas protagonistas y a las que se pide implementar, en los diversos contextos, las indicaciones autorizadas contenidas en el Documento Final. Continúa, pues, el trabajo.</w:t>
      </w:r>
    </w:p>
    <w:p w14:paraId="78DC03AC" w14:textId="3132EC0A" w:rsidR="00926044" w:rsidRDefault="00394EB6">
      <w:hyperlink r:id="rId12" w:history="1">
        <w:r w:rsidRPr="00B837E3">
          <w:rPr>
            <w:rStyle w:val="Hipervnculo"/>
          </w:rPr>
          <w:t>https://www.religiondigital.org/vaticano/Sinodo-experimentar-ministerio-necesidades-laicos-mujeres-avances-participacion-iglesia-mundo_0_2795420442.html?utm_source=newsletter&amp;utm_medium=email&amp;utm_campai</w:t>
        </w:r>
        <w:r w:rsidRPr="00B837E3">
          <w:rPr>
            <w:rStyle w:val="Hipervnculo"/>
          </w:rPr>
          <w:lastRenderedPageBreak/>
          <w:t>gn=el_arzobispado_de_granada_de_parte_del_parroco_de_trevelez_en_su_conflicto_con_el_pueblo&amp;utm_term=2025-07-08</w:t>
        </w:r>
      </w:hyperlink>
    </w:p>
    <w:p w14:paraId="5A1B19C7" w14:textId="77777777" w:rsidR="00394EB6" w:rsidRDefault="00394EB6"/>
    <w:sectPr w:rsidR="00394E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C1980"/>
    <w:multiLevelType w:val="multilevel"/>
    <w:tmpl w:val="DEA2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58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B6"/>
    <w:rsid w:val="000007C8"/>
    <w:rsid w:val="00394EB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6CB0"/>
  <w15:chartTrackingRefBased/>
  <w15:docId w15:val="{06489C92-D8B1-42EC-9977-85C50252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4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4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4E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4E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4E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4E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4E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4E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4E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4E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4E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4E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4E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4E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4E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4E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4E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4EB6"/>
    <w:rPr>
      <w:rFonts w:eastAsiaTheme="majorEastAsia" w:cstheme="majorBidi"/>
      <w:color w:val="272727" w:themeColor="text1" w:themeTint="D8"/>
    </w:rPr>
  </w:style>
  <w:style w:type="paragraph" w:styleId="Ttulo">
    <w:name w:val="Title"/>
    <w:basedOn w:val="Normal"/>
    <w:next w:val="Normal"/>
    <w:link w:val="TtuloCar"/>
    <w:uiPriority w:val="10"/>
    <w:qFormat/>
    <w:rsid w:val="00394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4E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4E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4E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4EB6"/>
    <w:pPr>
      <w:spacing w:before="160"/>
      <w:jc w:val="center"/>
    </w:pPr>
    <w:rPr>
      <w:i/>
      <w:iCs/>
      <w:color w:val="404040" w:themeColor="text1" w:themeTint="BF"/>
    </w:rPr>
  </w:style>
  <w:style w:type="character" w:customStyle="1" w:styleId="CitaCar">
    <w:name w:val="Cita Car"/>
    <w:basedOn w:val="Fuentedeprrafopredeter"/>
    <w:link w:val="Cita"/>
    <w:uiPriority w:val="29"/>
    <w:rsid w:val="00394EB6"/>
    <w:rPr>
      <w:i/>
      <w:iCs/>
      <w:color w:val="404040" w:themeColor="text1" w:themeTint="BF"/>
    </w:rPr>
  </w:style>
  <w:style w:type="paragraph" w:styleId="Prrafodelista">
    <w:name w:val="List Paragraph"/>
    <w:basedOn w:val="Normal"/>
    <w:uiPriority w:val="34"/>
    <w:qFormat/>
    <w:rsid w:val="00394EB6"/>
    <w:pPr>
      <w:ind w:left="720"/>
      <w:contextualSpacing/>
    </w:pPr>
  </w:style>
  <w:style w:type="character" w:styleId="nfasisintenso">
    <w:name w:val="Intense Emphasis"/>
    <w:basedOn w:val="Fuentedeprrafopredeter"/>
    <w:uiPriority w:val="21"/>
    <w:qFormat/>
    <w:rsid w:val="00394EB6"/>
    <w:rPr>
      <w:i/>
      <w:iCs/>
      <w:color w:val="0F4761" w:themeColor="accent1" w:themeShade="BF"/>
    </w:rPr>
  </w:style>
  <w:style w:type="paragraph" w:styleId="Citadestacada">
    <w:name w:val="Intense Quote"/>
    <w:basedOn w:val="Normal"/>
    <w:next w:val="Normal"/>
    <w:link w:val="CitadestacadaCar"/>
    <w:uiPriority w:val="30"/>
    <w:qFormat/>
    <w:rsid w:val="00394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4EB6"/>
    <w:rPr>
      <w:i/>
      <w:iCs/>
      <w:color w:val="0F4761" w:themeColor="accent1" w:themeShade="BF"/>
    </w:rPr>
  </w:style>
  <w:style w:type="character" w:styleId="Referenciaintensa">
    <w:name w:val="Intense Reference"/>
    <w:basedOn w:val="Fuentedeprrafopredeter"/>
    <w:uiPriority w:val="32"/>
    <w:qFormat/>
    <w:rsid w:val="00394EB6"/>
    <w:rPr>
      <w:b/>
      <w:bCs/>
      <w:smallCaps/>
      <w:color w:val="0F4761" w:themeColor="accent1" w:themeShade="BF"/>
      <w:spacing w:val="5"/>
    </w:rPr>
  </w:style>
  <w:style w:type="character" w:styleId="Hipervnculo">
    <w:name w:val="Hyperlink"/>
    <w:basedOn w:val="Fuentedeprrafopredeter"/>
    <w:uiPriority w:val="99"/>
    <w:unhideWhenUsed/>
    <w:rsid w:val="00394EB6"/>
    <w:rPr>
      <w:color w:val="467886" w:themeColor="hyperlink"/>
      <w:u w:val="single"/>
    </w:rPr>
  </w:style>
  <w:style w:type="character" w:styleId="Mencinsinresolver">
    <w:name w:val="Unresolved Mention"/>
    <w:basedOn w:val="Fuentedeprrafopredeter"/>
    <w:uiPriority w:val="99"/>
    <w:semiHidden/>
    <w:unhideWhenUsed/>
    <w:rsid w:val="00394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59380">
      <w:bodyDiv w:val="1"/>
      <w:marLeft w:val="0"/>
      <w:marRight w:val="0"/>
      <w:marTop w:val="0"/>
      <w:marBottom w:val="0"/>
      <w:divBdr>
        <w:top w:val="none" w:sz="0" w:space="0" w:color="auto"/>
        <w:left w:val="none" w:sz="0" w:space="0" w:color="auto"/>
        <w:bottom w:val="none" w:sz="0" w:space="0" w:color="auto"/>
        <w:right w:val="none" w:sz="0" w:space="0" w:color="auto"/>
      </w:divBdr>
      <w:divsChild>
        <w:div w:id="1680346948">
          <w:marLeft w:val="0"/>
          <w:marRight w:val="0"/>
          <w:marTop w:val="0"/>
          <w:marBottom w:val="0"/>
          <w:divBdr>
            <w:top w:val="none" w:sz="0" w:space="0" w:color="auto"/>
            <w:left w:val="none" w:sz="0" w:space="0" w:color="auto"/>
            <w:bottom w:val="none" w:sz="0" w:space="0" w:color="auto"/>
            <w:right w:val="none" w:sz="0" w:space="0" w:color="auto"/>
          </w:divBdr>
          <w:divsChild>
            <w:div w:id="1993606681">
              <w:marLeft w:val="0"/>
              <w:marRight w:val="0"/>
              <w:marTop w:val="0"/>
              <w:marBottom w:val="600"/>
              <w:divBdr>
                <w:top w:val="none" w:sz="0" w:space="0" w:color="auto"/>
                <w:left w:val="none" w:sz="0" w:space="0" w:color="auto"/>
                <w:bottom w:val="none" w:sz="0" w:space="0" w:color="auto"/>
                <w:right w:val="none" w:sz="0" w:space="0" w:color="auto"/>
              </w:divBdr>
              <w:divsChild>
                <w:div w:id="156988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1204">
          <w:marLeft w:val="0"/>
          <w:marRight w:val="0"/>
          <w:marTop w:val="0"/>
          <w:marBottom w:val="0"/>
          <w:divBdr>
            <w:top w:val="none" w:sz="0" w:space="0" w:color="auto"/>
            <w:left w:val="none" w:sz="0" w:space="0" w:color="auto"/>
            <w:bottom w:val="none" w:sz="0" w:space="0" w:color="auto"/>
            <w:right w:val="none" w:sz="0" w:space="0" w:color="auto"/>
          </w:divBdr>
          <w:divsChild>
            <w:div w:id="933830704">
              <w:marLeft w:val="0"/>
              <w:marRight w:val="0"/>
              <w:marTop w:val="0"/>
              <w:marBottom w:val="0"/>
              <w:divBdr>
                <w:top w:val="none" w:sz="0" w:space="0" w:color="auto"/>
                <w:left w:val="none" w:sz="0" w:space="0" w:color="auto"/>
                <w:bottom w:val="none" w:sz="0" w:space="0" w:color="auto"/>
                <w:right w:val="none" w:sz="0" w:space="0" w:color="auto"/>
              </w:divBdr>
              <w:divsChild>
                <w:div w:id="1474563453">
                  <w:marLeft w:val="-1275"/>
                  <w:marRight w:val="0"/>
                  <w:marTop w:val="0"/>
                  <w:marBottom w:val="0"/>
                  <w:divBdr>
                    <w:top w:val="none" w:sz="0" w:space="0" w:color="auto"/>
                    <w:left w:val="none" w:sz="0" w:space="0" w:color="auto"/>
                    <w:bottom w:val="none" w:sz="0" w:space="0" w:color="auto"/>
                    <w:right w:val="none" w:sz="0" w:space="0" w:color="auto"/>
                  </w:divBdr>
                </w:div>
                <w:div w:id="883907258">
                  <w:marLeft w:val="0"/>
                  <w:marRight w:val="0"/>
                  <w:marTop w:val="0"/>
                  <w:marBottom w:val="0"/>
                  <w:divBdr>
                    <w:top w:val="none" w:sz="0" w:space="0" w:color="auto"/>
                    <w:left w:val="none" w:sz="0" w:space="0" w:color="auto"/>
                    <w:bottom w:val="none" w:sz="0" w:space="0" w:color="auto"/>
                    <w:right w:val="none" w:sz="0" w:space="0" w:color="auto"/>
                  </w:divBdr>
                  <w:divsChild>
                    <w:div w:id="1941797986">
                      <w:marLeft w:val="0"/>
                      <w:marRight w:val="0"/>
                      <w:marTop w:val="0"/>
                      <w:marBottom w:val="0"/>
                      <w:divBdr>
                        <w:top w:val="none" w:sz="0" w:space="0" w:color="auto"/>
                        <w:left w:val="none" w:sz="0" w:space="0" w:color="auto"/>
                        <w:bottom w:val="none" w:sz="0" w:space="0" w:color="auto"/>
                        <w:right w:val="none" w:sz="0" w:space="0" w:color="auto"/>
                      </w:divBdr>
                    </w:div>
                    <w:div w:id="1167793599">
                      <w:marLeft w:val="0"/>
                      <w:marRight w:val="0"/>
                      <w:marTop w:val="0"/>
                      <w:marBottom w:val="0"/>
                      <w:divBdr>
                        <w:top w:val="none" w:sz="0" w:space="0" w:color="auto"/>
                        <w:left w:val="none" w:sz="0" w:space="0" w:color="auto"/>
                        <w:bottom w:val="none" w:sz="0" w:space="0" w:color="auto"/>
                        <w:right w:val="none" w:sz="0" w:space="0" w:color="auto"/>
                      </w:divBdr>
                      <w:divsChild>
                        <w:div w:id="1435663860">
                          <w:marLeft w:val="0"/>
                          <w:marRight w:val="0"/>
                          <w:marTop w:val="0"/>
                          <w:marBottom w:val="450"/>
                          <w:divBdr>
                            <w:top w:val="none" w:sz="0" w:space="0" w:color="auto"/>
                            <w:left w:val="none" w:sz="0" w:space="0" w:color="auto"/>
                            <w:bottom w:val="none" w:sz="0" w:space="0" w:color="auto"/>
                            <w:right w:val="none" w:sz="0" w:space="0" w:color="auto"/>
                          </w:divBdr>
                          <w:divsChild>
                            <w:div w:id="1953780844">
                              <w:marLeft w:val="0"/>
                              <w:marRight w:val="0"/>
                              <w:marTop w:val="0"/>
                              <w:marBottom w:val="0"/>
                              <w:divBdr>
                                <w:top w:val="none" w:sz="0" w:space="0" w:color="auto"/>
                                <w:left w:val="none" w:sz="0" w:space="0" w:color="auto"/>
                                <w:bottom w:val="none" w:sz="0" w:space="0" w:color="auto"/>
                                <w:right w:val="none" w:sz="0" w:space="0" w:color="auto"/>
                              </w:divBdr>
                            </w:div>
                          </w:divsChild>
                        </w:div>
                        <w:div w:id="76738710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nod.va/content/dam/synod/process/implementation/pathways/250102---ESP-Pistas-para-la-fase-de-implementac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jesus_bastante/" TargetMode="External"/><Relationship Id="rId12" Type="http://schemas.openxmlformats.org/officeDocument/2006/relationships/hyperlink" Target="https://www.religiondigital.org/vaticano/Sinodo-experimentar-ministerio-necesidades-laicos-mujeres-avances-participacion-iglesia-mundo_0_2795420442.html?utm_source=newsletter&amp;utm_medium=email&amp;utm_campaign=el_arzobispado_de_granada_de_parte_del_parroco_de_trevelez_en_su_conflicto_con_el_pueblo&amp;utm_term=2025-07-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ynod.va/content/dam/synod/news/2024-10-26_final-document/ESP---Documento-finale.pdf" TargetMode="External"/><Relationship Id="rId11" Type="http://schemas.openxmlformats.org/officeDocument/2006/relationships/hyperlink" Target="https://www.synod.va/content/dam/synod/news/2024-10-26_final-document/ESP---Documento-finale.pdf" TargetMode="Externa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synod.va/content/dam/synod/news/2024-10-26_final-document/ESP---Documento-finale.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927</Words>
  <Characters>5100</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2025-07-08T10:56:00Z</dcterms:created>
  <dcterms:modified xsi:type="dcterms:W3CDTF">2025-07-08T10:58:00Z</dcterms:modified>
</cp:coreProperties>
</file>