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EA07" w14:textId="77777777" w:rsidR="004E7D14" w:rsidRPr="004E7D14" w:rsidRDefault="004E7D14" w:rsidP="004E7D1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b/>
          <w:bCs/>
          <w:color w:val="000000"/>
          <w:kern w:val="0"/>
          <w:sz w:val="36"/>
          <w:szCs w:val="36"/>
          <w:lang w:eastAsia="es-UY"/>
          <w14:ligatures w14:val="none"/>
        </w:rPr>
        <w:t>La cruz, una historia de amor</w:t>
      </w:r>
    </w:p>
    <w:p w14:paraId="2C32BFC6" w14:textId="77777777" w:rsidR="004E7D14" w:rsidRPr="004E7D14" w:rsidRDefault="004E7D14" w:rsidP="004E7D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b/>
          <w:bCs/>
          <w:color w:val="000000"/>
          <w:kern w:val="0"/>
          <w:sz w:val="27"/>
          <w:szCs w:val="27"/>
          <w:lang w:eastAsia="es-UY"/>
          <w14:ligatures w14:val="none"/>
        </w:rPr>
        <w:t>LA EXALTACIÓN DE LA SANTA CRUZ</w:t>
      </w:r>
    </w:p>
    <w:p w14:paraId="31F3CF5F" w14:textId="77777777" w:rsidR="004E7D14" w:rsidRPr="004E7D14" w:rsidRDefault="004E7D14" w:rsidP="004E7D14">
      <w:pPr>
        <w:shd w:val="clear" w:color="auto" w:fill="FFFFFF"/>
        <w:spacing w:after="0" w:line="240" w:lineRule="auto"/>
        <w:jc w:val="center"/>
        <w:rPr>
          <w:rFonts w:ascii="Arial" w:eastAsia="Times New Roman" w:hAnsi="Arial" w:cs="Arial"/>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14 de septiembre</w:t>
      </w:r>
    </w:p>
    <w:p w14:paraId="71672B14"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i/>
          <w:iCs/>
          <w:color w:val="000000"/>
          <w:kern w:val="0"/>
          <w:sz w:val="27"/>
          <w:szCs w:val="27"/>
          <w:lang w:eastAsia="es-UY"/>
          <w14:ligatures w14:val="none"/>
        </w:rPr>
        <w:t>                                                                                                                 Eduardo de la Serna</w:t>
      </w:r>
      <w:r w:rsidRPr="004E7D14">
        <w:rPr>
          <w:rFonts w:ascii="Arial" w:eastAsia="Times New Roman" w:hAnsi="Arial" w:cs="Arial"/>
          <w:color w:val="000000"/>
          <w:kern w:val="0"/>
          <w:sz w:val="27"/>
          <w:szCs w:val="27"/>
          <w:lang w:eastAsia="es-UY"/>
          <w14:ligatures w14:val="none"/>
        </w:rPr>
        <w:t> </w:t>
      </w:r>
    </w:p>
    <w:p w14:paraId="1DEC879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w:t>
      </w:r>
    </w:p>
    <w:p w14:paraId="161B7ADD" w14:textId="77777777" w:rsidR="004E7D14" w:rsidRPr="004E7D14" w:rsidRDefault="004E7D14" w:rsidP="004E7D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noProof/>
          <w:color w:val="1155CC"/>
          <w:kern w:val="0"/>
          <w:sz w:val="27"/>
          <w:szCs w:val="27"/>
          <w:lang w:eastAsia="es-UY"/>
          <w14:ligatures w14:val="none"/>
        </w:rPr>
        <w:drawing>
          <wp:inline distT="0" distB="0" distL="0" distR="0" wp14:anchorId="599CFD2C" wp14:editId="5881B54D">
            <wp:extent cx="2806700" cy="3810000"/>
            <wp:effectExtent l="0" t="0" r="0" b="0"/>
            <wp:docPr id="1" name="Imagen 2" descr="Un dibujo de una perso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dibujo de una person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0" cy="3810000"/>
                    </a:xfrm>
                    <a:prstGeom prst="rect">
                      <a:avLst/>
                    </a:prstGeom>
                    <a:noFill/>
                    <a:ln>
                      <a:noFill/>
                    </a:ln>
                  </pic:spPr>
                </pic:pic>
              </a:graphicData>
            </a:graphic>
          </wp:inline>
        </w:drawing>
      </w:r>
    </w:p>
    <w:p w14:paraId="3745282F" w14:textId="77777777" w:rsidR="004E7D14" w:rsidRPr="004E7D14" w:rsidRDefault="004E7D14" w:rsidP="004E7D14">
      <w:pPr>
        <w:shd w:val="clear" w:color="auto" w:fill="FFFFFF"/>
        <w:spacing w:after="0" w:line="240" w:lineRule="auto"/>
        <w:rPr>
          <w:rFonts w:ascii="Arial" w:eastAsia="Times New Roman" w:hAnsi="Arial" w:cs="Arial"/>
          <w:color w:val="222222"/>
          <w:kern w:val="0"/>
          <w:sz w:val="24"/>
          <w:szCs w:val="24"/>
          <w:lang w:eastAsia="es-UY"/>
          <w14:ligatures w14:val="none"/>
        </w:rPr>
      </w:pPr>
      <w:r w:rsidRPr="004E7D14">
        <w:rPr>
          <w:rFonts w:ascii="Arial" w:eastAsia="Times New Roman" w:hAnsi="Arial" w:cs="Arial"/>
          <w:color w:val="000000"/>
          <w:kern w:val="0"/>
          <w:sz w:val="27"/>
          <w:szCs w:val="27"/>
          <w:lang w:eastAsia="es-UY"/>
          <w14:ligatures w14:val="none"/>
        </w:rPr>
        <w:br/>
      </w:r>
    </w:p>
    <w:p w14:paraId="732359E1"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b/>
          <w:bCs/>
          <w:color w:val="000000"/>
          <w:kern w:val="0"/>
          <w:sz w:val="27"/>
          <w:szCs w:val="27"/>
          <w:lang w:eastAsia="es-UY"/>
          <w14:ligatures w14:val="none"/>
        </w:rPr>
        <w:t>Lectura del libro de los Números</w:t>
      </w:r>
      <w:r w:rsidRPr="004E7D14">
        <w:rPr>
          <w:rFonts w:ascii="Arial" w:eastAsia="Times New Roman" w:hAnsi="Arial" w:cs="Arial"/>
          <w:color w:val="000000"/>
          <w:kern w:val="0"/>
          <w:sz w:val="27"/>
          <w:szCs w:val="27"/>
          <w:lang w:eastAsia="es-UY"/>
          <w14:ligatures w14:val="none"/>
        </w:rPr>
        <w:t>     21, 4b-9</w:t>
      </w:r>
    </w:p>
    <w:p w14:paraId="2E3BFF88"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EC6C25F" w14:textId="77777777" w:rsidR="004E7D14" w:rsidRPr="004E7D14" w:rsidRDefault="004E7D14" w:rsidP="004E7D14">
      <w:pPr>
        <w:shd w:val="clear" w:color="auto" w:fill="FFFFFF"/>
        <w:spacing w:after="0" w:line="240" w:lineRule="auto"/>
        <w:rPr>
          <w:rFonts w:ascii="Arial" w:eastAsia="Times New Roman" w:hAnsi="Arial" w:cs="Arial"/>
          <w:color w:val="000000"/>
          <w:kern w:val="0"/>
          <w:sz w:val="27"/>
          <w:szCs w:val="27"/>
          <w:lang w:eastAsia="es-UY"/>
          <w14:ligatures w14:val="none"/>
        </w:rPr>
      </w:pPr>
      <w:r w:rsidRPr="004E7D14">
        <w:rPr>
          <w:rFonts w:ascii="Arial" w:eastAsia="Times New Roman" w:hAnsi="Arial" w:cs="Arial"/>
          <w:i/>
          <w:iCs/>
          <w:color w:val="000000"/>
          <w:kern w:val="0"/>
          <w:sz w:val="27"/>
          <w:szCs w:val="27"/>
          <w:lang w:eastAsia="es-UY"/>
          <w14:ligatures w14:val="none"/>
        </w:rPr>
        <w:t>Resumen: En el esquema característico del pueblo que en el desierto –ni siquiera a poco de llegar a la tierra- sigue tentando a Dios, se nos prersenta una aparición de serpientes como castigo de Dios, la intercesión de Moisés y la construcción de una serpiente de bronce que restaura la situación a pesar de la rebelión sistemática del pueblo.</w:t>
      </w:r>
    </w:p>
    <w:p w14:paraId="3A1B98AB" w14:textId="77777777" w:rsidR="004E7D14" w:rsidRPr="004E7D14" w:rsidRDefault="004E7D14" w:rsidP="004E7D14">
      <w:pPr>
        <w:shd w:val="clear" w:color="auto" w:fill="FFFFFF"/>
        <w:spacing w:after="0" w:line="240" w:lineRule="auto"/>
        <w:rPr>
          <w:rFonts w:ascii="Arial" w:eastAsia="Times New Roman" w:hAnsi="Arial" w:cs="Arial"/>
          <w:color w:val="000000"/>
          <w:kern w:val="0"/>
          <w:sz w:val="27"/>
          <w:szCs w:val="27"/>
          <w:lang w:eastAsia="es-UY"/>
          <w14:ligatures w14:val="none"/>
        </w:rPr>
      </w:pPr>
    </w:p>
    <w:p w14:paraId="4FBCB003"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En su estadía en el desierto, el pueblo está llegando a las fronteras de la tierra de Israel, en Transjordania. La fórmula se repite: “partieron de…” (21,4.10.11.12.13…). El relato litúrgico [puesto aquí porque es citado por el evangelio del día] es un largo paréntesis sobre lo que ocurre en una de estas estaciones, rodeando el territorio de Edom.</w:t>
      </w:r>
    </w:p>
    <w:p w14:paraId="14B93F68"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1C223D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Como en tantas ocasiones en el desierto, la inminencia de la llegada a la tierra no exime al pueblo de su rebelión constante. </w:t>
      </w:r>
    </w:p>
    <w:p w14:paraId="2FE6C022"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65B2F1"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La “tentación” es habitual en el desierto (Ex 14,11; 15,24; 16,2-3; 17,3; Num 11,1.4; 14,2; 20,2) y con frecuencia alude a la muerte y al contraste con el pasado en Egipto. En esa región, donde hay minas de cobre, se han encontrado pequeñas serpientes hechas con este metal, seguramente como una suerte de amuleto protector. </w:t>
      </w:r>
    </w:p>
    <w:p w14:paraId="528E922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8AC541"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La cantidad de serpientes es calificada de “abrasadoras” (</w:t>
      </w:r>
      <w:r w:rsidRPr="004E7D14">
        <w:rPr>
          <w:rFonts w:ascii="Arial" w:eastAsia="Times New Roman" w:hAnsi="Arial" w:cs="Arial"/>
          <w:i/>
          <w:iCs/>
          <w:color w:val="000000"/>
          <w:kern w:val="0"/>
          <w:sz w:val="27"/>
          <w:szCs w:val="27"/>
          <w:lang w:eastAsia="es-UY"/>
          <w14:ligatures w14:val="none"/>
        </w:rPr>
        <w:t>séraf</w:t>
      </w:r>
      <w:r w:rsidRPr="004E7D14">
        <w:rPr>
          <w:rFonts w:ascii="Arial" w:eastAsia="Times New Roman" w:hAnsi="Arial" w:cs="Arial"/>
          <w:color w:val="000000"/>
          <w:kern w:val="0"/>
          <w:sz w:val="27"/>
          <w:szCs w:val="27"/>
          <w:lang w:eastAsia="es-UY"/>
          <w14:ligatures w14:val="none"/>
        </w:rPr>
        <w:t>; cf. Dt 8,15; pero también puede aludir a “alas”, cf. Is 14,29; 30,6 y quizás así “</w:t>
      </w:r>
      <w:r w:rsidRPr="004E7D14">
        <w:rPr>
          <w:rFonts w:ascii="Arial" w:eastAsia="Times New Roman" w:hAnsi="Arial" w:cs="Arial"/>
          <w:i/>
          <w:iCs/>
          <w:color w:val="000000"/>
          <w:kern w:val="0"/>
          <w:sz w:val="27"/>
          <w:szCs w:val="27"/>
          <w:lang w:eastAsia="es-UY"/>
          <w14:ligatures w14:val="none"/>
        </w:rPr>
        <w:t>serafines</w:t>
      </w:r>
      <w:r w:rsidRPr="004E7D14">
        <w:rPr>
          <w:rFonts w:ascii="Arial" w:eastAsia="Times New Roman" w:hAnsi="Arial" w:cs="Arial"/>
          <w:color w:val="000000"/>
          <w:kern w:val="0"/>
          <w:sz w:val="27"/>
          <w:szCs w:val="27"/>
          <w:lang w:eastAsia="es-UY"/>
          <w14:ligatures w14:val="none"/>
        </w:rPr>
        <w:t>”, Is 6,2.6), probablemente en alusión al dolor causado por la picadura. </w:t>
      </w:r>
    </w:p>
    <w:p w14:paraId="60BE2095"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8F4E963"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Como es frecuente, también, el pueblo reconoce su pecado (12,11; cf.14,40) y Dios cambia de actitud por intercesión de Moisés (11,2; Dt 9,26). Moisés, por encargo divino hará una serpiente de bronce (juego de palabras en hebreo: </w:t>
      </w:r>
      <w:r w:rsidRPr="004E7D14">
        <w:rPr>
          <w:rFonts w:ascii="Arial" w:eastAsia="Times New Roman" w:hAnsi="Arial" w:cs="Arial"/>
          <w:i/>
          <w:iCs/>
          <w:color w:val="000000"/>
          <w:kern w:val="0"/>
          <w:sz w:val="27"/>
          <w:szCs w:val="27"/>
          <w:lang w:eastAsia="es-UY"/>
          <w14:ligatures w14:val="none"/>
        </w:rPr>
        <w:t>nejash nejoshet</w:t>
      </w:r>
      <w:r w:rsidRPr="004E7D14">
        <w:rPr>
          <w:rFonts w:ascii="Arial" w:eastAsia="Times New Roman" w:hAnsi="Arial" w:cs="Arial"/>
          <w:color w:val="000000"/>
          <w:kern w:val="0"/>
          <w:sz w:val="27"/>
          <w:szCs w:val="27"/>
          <w:lang w:eastAsia="es-UY"/>
          <w14:ligatures w14:val="none"/>
        </w:rPr>
        <w:t>). No se trata en este caso de un amuleto, sino de un encargo divino, el cual dará vida donde se esperaba muerte por la mordida de la serpiente.</w:t>
      </w:r>
    </w:p>
    <w:p w14:paraId="66AA856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6CDC094"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El estandarte ha de haber resultado significativo ya que se conservó en el Templo de Jerusalén hasta que en la reforma religiosa de Ezequías fue destruido por el desvío idolátrico que se había provocado (2 Re 18,4).</w:t>
      </w:r>
    </w:p>
    <w:p w14:paraId="0E61ABA9"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w:t>
      </w:r>
    </w:p>
    <w:p w14:paraId="54032738"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8046B5C"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b/>
          <w:bCs/>
          <w:color w:val="000000"/>
          <w:kern w:val="0"/>
          <w:sz w:val="27"/>
          <w:szCs w:val="27"/>
          <w:lang w:eastAsia="es-UY"/>
          <w14:ligatures w14:val="none"/>
        </w:rPr>
        <w:t>Lectura de la carta de san Pablo a los cristianos de Filipos</w:t>
      </w:r>
      <w:r w:rsidRPr="004E7D14">
        <w:rPr>
          <w:rFonts w:ascii="Arial" w:eastAsia="Times New Roman" w:hAnsi="Arial" w:cs="Arial"/>
          <w:color w:val="000000"/>
          <w:kern w:val="0"/>
          <w:sz w:val="27"/>
          <w:szCs w:val="27"/>
          <w:lang w:eastAsia="es-UY"/>
          <w14:ligatures w14:val="none"/>
        </w:rPr>
        <w:t>     2, 6-11</w:t>
      </w:r>
    </w:p>
    <w:p w14:paraId="7C975DFE" w14:textId="77777777" w:rsidR="004E7D14" w:rsidRPr="004E7D14" w:rsidRDefault="004E7D14" w:rsidP="004E7D14">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55FDD49B" w14:textId="77777777" w:rsidR="004E7D14" w:rsidRPr="004E7D14" w:rsidRDefault="004E7D14" w:rsidP="004E7D14">
      <w:pPr>
        <w:shd w:val="clear" w:color="auto" w:fill="FFFFFF"/>
        <w:spacing w:after="0" w:line="240" w:lineRule="auto"/>
        <w:rPr>
          <w:rFonts w:ascii="Arial" w:eastAsia="Times New Roman" w:hAnsi="Arial" w:cs="Arial"/>
          <w:i/>
          <w:iCs/>
          <w:color w:val="000000"/>
          <w:kern w:val="0"/>
          <w:sz w:val="27"/>
          <w:szCs w:val="27"/>
          <w:lang w:eastAsia="es-UY"/>
          <w14:ligatures w14:val="none"/>
        </w:rPr>
      </w:pPr>
      <w:r w:rsidRPr="004E7D14">
        <w:rPr>
          <w:rFonts w:ascii="Arial" w:eastAsia="Times New Roman" w:hAnsi="Arial" w:cs="Arial"/>
          <w:i/>
          <w:iCs/>
          <w:color w:val="000000"/>
          <w:kern w:val="0"/>
          <w:sz w:val="27"/>
          <w:szCs w:val="27"/>
          <w:lang w:eastAsia="es-UY"/>
          <w14:ligatures w14:val="none"/>
        </w:rPr>
        <w:t>Resumen: Pablo invita a los cristianos de Filipos a tener una actitud caracterizada por la humildad y la obediencia imitando a Cristo. Esto provocó en él que Dios lo exaltara hasta la altura divina, con lo se espera que la gracia de Dios actuará en los hijos de Dios de un modo semejante.</w:t>
      </w:r>
    </w:p>
    <w:p w14:paraId="05D2178D" w14:textId="77777777" w:rsidR="004E7D14" w:rsidRPr="004E7D14" w:rsidRDefault="004E7D14" w:rsidP="004E7D14">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67DE3C82" w14:textId="77777777" w:rsidR="004E7D14" w:rsidRPr="004E7D14" w:rsidRDefault="004E7D14" w:rsidP="004E7D14">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53C44195" w14:textId="77777777" w:rsidR="004E7D14" w:rsidRPr="004E7D14" w:rsidRDefault="004E7D14" w:rsidP="004E7D14">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Esta lectura se lee en la fiesta de los Ramos; aquí se presenta debido a su referencia a la cruz y a la consiguiente “exaltación” que Dios realiza a raíz de su “descenso”. </w:t>
      </w:r>
    </w:p>
    <w:p w14:paraId="2B14E2B9"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4A94C5"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xml:space="preserve">El texto de la carta a los filipenses es visto con mucha frecuencia como un texto conocido por la comunidad y que Pablo cita en este contexto. Mirando atentamente descubrimos dos movimientos, uno de descenso (hacerse nada) y otro de exaltación. El primero, movimiento desde la forma de Dios a la forma de esclavo finaliza en la muerte, “¡y muerte de cruz!”. El segundo, marcado por la donación del nombre excelso (el </w:t>
      </w:r>
      <w:r w:rsidRPr="004E7D14">
        <w:rPr>
          <w:rFonts w:ascii="Arial" w:eastAsia="Times New Roman" w:hAnsi="Arial" w:cs="Arial"/>
          <w:color w:val="000000"/>
          <w:kern w:val="0"/>
          <w:sz w:val="27"/>
          <w:szCs w:val="27"/>
          <w:lang w:eastAsia="es-UY"/>
          <w14:ligatures w14:val="none"/>
        </w:rPr>
        <w:lastRenderedPageBreak/>
        <w:t>nombre de Dios) culmina en la proclamación de Jesús como “¡señor!” Sin embargo, el acento está puesto en la primera parte (dice que tengan los comportamientos de Cristo y estos están marcados por el movimiento de descenso); el otro movimiento es obrado por Dios que exalta a Cristo “por eso” (por su abajamiento). Este abajamiento está marcado por dos acciones: la humildad y la obediencia (a Dios). Lo cual es claramente contracultural en una colonia romana como era Filipos. Esas dos acciones (que enmarcan el relato, en los vv.3 y 12) son lo que se debe buscar para tener los mismos comportamientos de Cristo hasta la cruz. El resto es obra de Dios elevando a Jesús -en la resurrección, por cierto- hasta la altura divina.</w:t>
      </w:r>
    </w:p>
    <w:p w14:paraId="573A20EF"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0E42B8" w14:textId="77777777" w:rsidR="004E7D14" w:rsidRPr="004E7D14" w:rsidRDefault="004E7D14" w:rsidP="004E7D1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E7D14">
        <w:rPr>
          <w:rFonts w:ascii="Arial" w:eastAsia="Times New Roman" w:hAnsi="Arial" w:cs="Arial"/>
          <w:noProof/>
          <w:color w:val="1155CC"/>
          <w:kern w:val="0"/>
          <w:sz w:val="24"/>
          <w:szCs w:val="24"/>
          <w:lang w:eastAsia="es-UY"/>
          <w14:ligatures w14:val="none"/>
        </w:rPr>
        <w:drawing>
          <wp:inline distT="0" distB="0" distL="0" distR="0" wp14:anchorId="5D1BFF25" wp14:editId="03152F9B">
            <wp:extent cx="6096000" cy="2247900"/>
            <wp:effectExtent l="0" t="0" r="0" b="0"/>
            <wp:docPr id="2" name="Imagen 1" descr="Interfaz de usuario gráfica, Aplicación&#10;&#10;El contenido generado por IA puede ser incorrec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Aplicación&#10;&#10;El contenido generado por IA puede ser incorrecto.">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247900"/>
                    </a:xfrm>
                    <a:prstGeom prst="rect">
                      <a:avLst/>
                    </a:prstGeom>
                    <a:noFill/>
                    <a:ln>
                      <a:noFill/>
                    </a:ln>
                  </pic:spPr>
                </pic:pic>
              </a:graphicData>
            </a:graphic>
          </wp:inline>
        </w:drawing>
      </w:r>
    </w:p>
    <w:p w14:paraId="7A227B23" w14:textId="77777777" w:rsidR="004E7D14" w:rsidRPr="004E7D14" w:rsidRDefault="004E7D14" w:rsidP="004E7D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7DAD5F1" w14:textId="77777777" w:rsidR="004E7D14" w:rsidRPr="004E7D14" w:rsidRDefault="004E7D14" w:rsidP="004E7D14">
      <w:pPr>
        <w:shd w:val="clear" w:color="auto" w:fill="FFFFFF"/>
        <w:spacing w:after="0" w:line="240" w:lineRule="auto"/>
        <w:rPr>
          <w:rFonts w:ascii="Arial" w:eastAsia="Times New Roman" w:hAnsi="Arial" w:cs="Arial"/>
          <w:color w:val="222222"/>
          <w:kern w:val="0"/>
          <w:sz w:val="24"/>
          <w:szCs w:val="24"/>
          <w:lang w:eastAsia="es-UY"/>
          <w14:ligatures w14:val="none"/>
        </w:rPr>
      </w:pPr>
      <w:r w:rsidRPr="004E7D14">
        <w:rPr>
          <w:rFonts w:ascii="Arial" w:eastAsia="Times New Roman" w:hAnsi="Arial" w:cs="Arial"/>
          <w:color w:val="222222"/>
          <w:kern w:val="0"/>
          <w:sz w:val="20"/>
          <w:szCs w:val="20"/>
          <w:lang w:eastAsia="es-UY"/>
          <w14:ligatures w14:val="none"/>
        </w:rPr>
        <w:t>El doble movimiento de descenso y ascenso puede verse en el esquema. La idea principal para los lectores es “tener los comportamientos de Cristo”, por tanto repetir la escena de “descenso”. Dios, que es el sujeto del momento de “exaltación”, también dará a los suyos. </w:t>
      </w:r>
    </w:p>
    <w:p w14:paraId="414E4B81"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Para la liturgia del día, el acento está puesto en la frase “y muerte de cruz” que los autores que consideran el texto un himno pre-paulino afirman que se trata de un añadido de mano del mismo Pablo. La obediencia y la humildad (la clave del comportamiento de Cristo que la comunidad debe repetir) llegan hasta el extremo de la cruz.</w:t>
      </w:r>
    </w:p>
    <w:p w14:paraId="73B35C3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E6A232"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Es interesante, también, notar el movimiento de ascenso que Dios provoca. Este está marcado por el “nombre”. Dios le da el “nombre sobre todo nombre” (el nombre de Dios) que se une aquí al “nombre de Jesús”. Dios ha “elevado” a Jesús de modo tal que de él se dirán cosas que se afirman exclusivamente de Dios: se doblará toda rodilla… </w:t>
      </w:r>
    </w:p>
    <w:p w14:paraId="24E932C1"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14CE0B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xml:space="preserve">La referencia a “toda rodilla” y a “toda lengua” están tomadas del himno claramente monoteísta de Is 45,14-25 (ver v.23) donde se destaca que “Yahvé salva” a diferencia de los dioses de los pueblos que “no pueden salvar” (no está de más recordar que el nombre “Jesús” significa “Yahvé salva”). La acción elevadora de Dios a Jesús lo pone a la misma altura </w:t>
      </w:r>
      <w:r w:rsidRPr="004E7D14">
        <w:rPr>
          <w:rFonts w:ascii="Arial" w:eastAsia="Times New Roman" w:hAnsi="Arial" w:cs="Arial"/>
          <w:color w:val="000000"/>
          <w:kern w:val="0"/>
          <w:sz w:val="27"/>
          <w:szCs w:val="27"/>
          <w:lang w:eastAsia="es-UY"/>
          <w14:ligatures w14:val="none"/>
        </w:rPr>
        <w:lastRenderedPageBreak/>
        <w:t>divina hasta el punto de ser reconocido como “Señor”, como se decía de Dios mismo; y en eso Dios mismo se manifiesta (gloria).</w:t>
      </w:r>
    </w:p>
    <w:p w14:paraId="1D56AF91"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19A1FA6"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La acción descendente de Jesús de humildad y obediencia hasta el extremo de la cruz, en el paso de la forma de Dios a la forma de esclavo, provoca que Dios (“por eso”) lo exalte hasta la misma altura divina y reciba el mismo nombre divino con el que Dios recibe gloria y Jesús es reconocido por “toda lengua”.</w:t>
      </w:r>
    </w:p>
    <w:p w14:paraId="30BCF235"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A498F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w:t>
      </w:r>
    </w:p>
    <w:p w14:paraId="548E3BE3"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w:t>
      </w:r>
      <w:r w:rsidRPr="004E7D14">
        <w:rPr>
          <w:rFonts w:ascii="Arial" w:eastAsia="Times New Roman" w:hAnsi="Arial" w:cs="Arial"/>
          <w:b/>
          <w:bCs/>
          <w:color w:val="000000"/>
          <w:kern w:val="0"/>
          <w:sz w:val="27"/>
          <w:szCs w:val="27"/>
          <w:lang w:eastAsia="es-UY"/>
          <w14:ligatures w14:val="none"/>
        </w:rPr>
        <w:t>Evangelio según san Juan</w:t>
      </w:r>
      <w:r w:rsidRPr="004E7D14">
        <w:rPr>
          <w:rFonts w:ascii="Arial" w:eastAsia="Times New Roman" w:hAnsi="Arial" w:cs="Arial"/>
          <w:color w:val="000000"/>
          <w:kern w:val="0"/>
          <w:sz w:val="27"/>
          <w:szCs w:val="27"/>
          <w:lang w:eastAsia="es-UY"/>
          <w14:ligatures w14:val="none"/>
        </w:rPr>
        <w:t>     3, 13-17</w:t>
      </w:r>
    </w:p>
    <w:p w14:paraId="6F9C57B7"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DE0908" w14:textId="77777777" w:rsidR="004E7D14" w:rsidRPr="004E7D14" w:rsidRDefault="004E7D14" w:rsidP="004E7D14">
      <w:pPr>
        <w:shd w:val="clear" w:color="auto" w:fill="FFFFFF"/>
        <w:spacing w:after="0" w:line="240" w:lineRule="auto"/>
        <w:rPr>
          <w:rFonts w:ascii="Arial" w:eastAsia="Times New Roman" w:hAnsi="Arial" w:cs="Arial"/>
          <w:color w:val="000000"/>
          <w:kern w:val="0"/>
          <w:sz w:val="27"/>
          <w:szCs w:val="27"/>
          <w:lang w:eastAsia="es-UY"/>
          <w14:ligatures w14:val="none"/>
        </w:rPr>
      </w:pPr>
      <w:r w:rsidRPr="004E7D14">
        <w:rPr>
          <w:rFonts w:ascii="Arial" w:eastAsia="Times New Roman" w:hAnsi="Arial" w:cs="Arial"/>
          <w:i/>
          <w:iCs/>
          <w:color w:val="000000"/>
          <w:kern w:val="0"/>
          <w:sz w:val="27"/>
          <w:szCs w:val="27"/>
          <w:lang w:eastAsia="es-UY"/>
          <w14:ligatures w14:val="none"/>
        </w:rPr>
        <w:t>Resumen: Dios manifiesta la paradoja de su amor ya que ama y entrega lo más amado precisamente a aquellos que se caracterizan por su enemistad a las cosas de Dios. Esto se expresa con el verbo “creer”, que es el objetivo de todo el Evangelio para que en ello el creyente tenga “vida”.</w:t>
      </w:r>
    </w:p>
    <w:p w14:paraId="700D53FE" w14:textId="77777777" w:rsidR="004E7D14" w:rsidRPr="004E7D14" w:rsidRDefault="004E7D14" w:rsidP="004E7D14">
      <w:pPr>
        <w:shd w:val="clear" w:color="auto" w:fill="FFFFFF"/>
        <w:spacing w:after="0" w:line="240" w:lineRule="auto"/>
        <w:rPr>
          <w:rFonts w:ascii="Arial" w:eastAsia="Times New Roman" w:hAnsi="Arial" w:cs="Arial"/>
          <w:color w:val="000000"/>
          <w:kern w:val="0"/>
          <w:sz w:val="27"/>
          <w:szCs w:val="27"/>
          <w:lang w:eastAsia="es-UY"/>
          <w14:ligatures w14:val="none"/>
        </w:rPr>
      </w:pPr>
    </w:p>
    <w:p w14:paraId="4A5C1A2E"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El cap. 3 de Juan presenta el encuentro y diálogo entre Jesús y Nicodemo; sin embargo, en algún momento (entre los vv.13 y 15) el texto parece abandonar el diálogo y pasar a ser un monólogo de Jesús en el que Nicodemo desaparece; algunos afirman que se pasa a un himno cristiano sobre el amor de Dios. Ciertamente esto ocurre antes de v.22 donde Jesús se traslada a Judea. </w:t>
      </w:r>
    </w:p>
    <w:p w14:paraId="4A65278F"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5AB726A"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Lo que se destaca es que “</w:t>
      </w:r>
      <w:r w:rsidRPr="004E7D14">
        <w:rPr>
          <w:rFonts w:ascii="Arial" w:eastAsia="Times New Roman" w:hAnsi="Arial" w:cs="Arial"/>
          <w:i/>
          <w:iCs/>
          <w:color w:val="000000"/>
          <w:kern w:val="0"/>
          <w:sz w:val="27"/>
          <w:szCs w:val="27"/>
          <w:lang w:eastAsia="es-UY"/>
          <w14:ligatures w14:val="none"/>
        </w:rPr>
        <w:t>Dios amó al mundo</w:t>
      </w:r>
      <w:r w:rsidRPr="004E7D14">
        <w:rPr>
          <w:rFonts w:ascii="Arial" w:eastAsia="Times New Roman" w:hAnsi="Arial" w:cs="Arial"/>
          <w:color w:val="000000"/>
          <w:kern w:val="0"/>
          <w:sz w:val="27"/>
          <w:szCs w:val="27"/>
          <w:lang w:eastAsia="es-UY"/>
          <w14:ligatures w14:val="none"/>
        </w:rPr>
        <w:t>”, y tanto que “</w:t>
      </w:r>
      <w:r w:rsidRPr="004E7D14">
        <w:rPr>
          <w:rFonts w:ascii="Arial" w:eastAsia="Times New Roman" w:hAnsi="Arial" w:cs="Arial"/>
          <w:i/>
          <w:iCs/>
          <w:color w:val="000000"/>
          <w:kern w:val="0"/>
          <w:sz w:val="27"/>
          <w:szCs w:val="27"/>
          <w:lang w:eastAsia="es-UY"/>
          <w14:ligatures w14:val="none"/>
        </w:rPr>
        <w:t>dio</w:t>
      </w:r>
      <w:r w:rsidRPr="004E7D14">
        <w:rPr>
          <w:rFonts w:ascii="Arial" w:eastAsia="Times New Roman" w:hAnsi="Arial" w:cs="Arial"/>
          <w:color w:val="000000"/>
          <w:kern w:val="0"/>
          <w:sz w:val="27"/>
          <w:szCs w:val="27"/>
          <w:lang w:eastAsia="es-UY"/>
          <w14:ligatures w14:val="none"/>
        </w:rPr>
        <w:t>” a su “</w:t>
      </w:r>
      <w:r w:rsidRPr="004E7D14">
        <w:rPr>
          <w:rFonts w:ascii="Arial" w:eastAsia="Times New Roman" w:hAnsi="Arial" w:cs="Arial"/>
          <w:i/>
          <w:iCs/>
          <w:color w:val="000000"/>
          <w:kern w:val="0"/>
          <w:sz w:val="27"/>
          <w:szCs w:val="27"/>
          <w:lang w:eastAsia="es-UY"/>
          <w14:ligatures w14:val="none"/>
        </w:rPr>
        <w:t>Hijo único</w:t>
      </w:r>
      <w:r w:rsidRPr="004E7D14">
        <w:rPr>
          <w:rFonts w:ascii="Arial" w:eastAsia="Times New Roman" w:hAnsi="Arial" w:cs="Arial"/>
          <w:color w:val="000000"/>
          <w:kern w:val="0"/>
          <w:sz w:val="27"/>
          <w:szCs w:val="27"/>
          <w:lang w:eastAsia="es-UY"/>
          <w14:ligatures w14:val="none"/>
        </w:rPr>
        <w:t>”. Es interesante que, en general, el término </w:t>
      </w:r>
      <w:r w:rsidRPr="004E7D14">
        <w:rPr>
          <w:rFonts w:ascii="Arial" w:eastAsia="Times New Roman" w:hAnsi="Arial" w:cs="Arial"/>
          <w:i/>
          <w:iCs/>
          <w:color w:val="000000"/>
          <w:kern w:val="0"/>
          <w:sz w:val="27"/>
          <w:szCs w:val="27"/>
          <w:lang w:eastAsia="es-UY"/>
          <w14:ligatures w14:val="none"/>
        </w:rPr>
        <w:t>amor</w:t>
      </w:r>
      <w:r w:rsidRPr="004E7D14">
        <w:rPr>
          <w:rFonts w:ascii="Arial" w:eastAsia="Times New Roman" w:hAnsi="Arial" w:cs="Arial"/>
          <w:color w:val="000000"/>
          <w:kern w:val="0"/>
          <w:sz w:val="27"/>
          <w:szCs w:val="27"/>
          <w:lang w:eastAsia="es-UY"/>
          <w14:ligatures w14:val="none"/>
        </w:rPr>
        <w:t> (verbo y sustantivo) en la primera parte del Evangelio (Jn 1-12) fundamentalmente se dice de Dios o de otros, mientras que en la segunda parte (Jn 13-20/21) se dice del Hijo. En este caso, se destaca el destinatario del amor de Dios: el </w:t>
      </w:r>
      <w:r w:rsidRPr="004E7D14">
        <w:rPr>
          <w:rFonts w:ascii="Arial" w:eastAsia="Times New Roman" w:hAnsi="Arial" w:cs="Arial"/>
          <w:i/>
          <w:iCs/>
          <w:color w:val="000000"/>
          <w:kern w:val="0"/>
          <w:sz w:val="27"/>
          <w:szCs w:val="27"/>
          <w:lang w:eastAsia="es-UY"/>
          <w14:ligatures w14:val="none"/>
        </w:rPr>
        <w:t>mundo</w:t>
      </w:r>
      <w:r w:rsidRPr="004E7D14">
        <w:rPr>
          <w:rFonts w:ascii="Arial" w:eastAsia="Times New Roman" w:hAnsi="Arial" w:cs="Arial"/>
          <w:color w:val="000000"/>
          <w:kern w:val="0"/>
          <w:sz w:val="27"/>
          <w:szCs w:val="27"/>
          <w:lang w:eastAsia="es-UY"/>
          <w14:ligatures w14:val="none"/>
        </w:rPr>
        <w:t>, y la medida: dar al Hijo. </w:t>
      </w:r>
    </w:p>
    <w:p w14:paraId="3D5121B4"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86BE05"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El mundo, en general, en Juan es el ambiente hostil a Dios y a Jesús, sus enemigos. Sin duda el ambiente en el que la comunidad joánica vive se encuentra con un amplio ambiente hostil a la que califican de “</w:t>
      </w:r>
      <w:r w:rsidRPr="004E7D14">
        <w:rPr>
          <w:rFonts w:ascii="Arial" w:eastAsia="Times New Roman" w:hAnsi="Arial" w:cs="Arial"/>
          <w:i/>
          <w:iCs/>
          <w:color w:val="000000"/>
          <w:kern w:val="0"/>
          <w:sz w:val="27"/>
          <w:szCs w:val="27"/>
          <w:lang w:eastAsia="es-UY"/>
          <w14:ligatures w14:val="none"/>
        </w:rPr>
        <w:t>mundo</w:t>
      </w:r>
      <w:r w:rsidRPr="004E7D14">
        <w:rPr>
          <w:rFonts w:ascii="Arial" w:eastAsia="Times New Roman" w:hAnsi="Arial" w:cs="Arial"/>
          <w:color w:val="000000"/>
          <w:kern w:val="0"/>
          <w:sz w:val="27"/>
          <w:szCs w:val="27"/>
          <w:lang w:eastAsia="es-UY"/>
          <w14:ligatures w14:val="none"/>
        </w:rPr>
        <w:t>” (</w:t>
      </w:r>
      <w:r w:rsidRPr="004E7D14">
        <w:rPr>
          <w:rFonts w:ascii="Arial" w:eastAsia="Times New Roman" w:hAnsi="Arial" w:cs="Arial"/>
          <w:i/>
          <w:iCs/>
          <w:color w:val="000000"/>
          <w:kern w:val="0"/>
          <w:sz w:val="27"/>
          <w:szCs w:val="27"/>
          <w:lang w:eastAsia="es-UY"/>
          <w14:ligatures w14:val="none"/>
        </w:rPr>
        <w:t>kosmos</w:t>
      </w:r>
      <w:r w:rsidRPr="004E7D14">
        <w:rPr>
          <w:rFonts w:ascii="Arial" w:eastAsia="Times New Roman" w:hAnsi="Arial" w:cs="Arial"/>
          <w:color w:val="000000"/>
          <w:kern w:val="0"/>
          <w:sz w:val="27"/>
          <w:szCs w:val="27"/>
          <w:lang w:eastAsia="es-UY"/>
          <w14:ligatures w14:val="none"/>
        </w:rPr>
        <w:t xml:space="preserve">). Dios, que ama primero, lo amó, pero el mundo lo ha odiado: “no lo conoció” (1,10) aunque quite “el pecado del mundo” (1,29) y sea “el Salvador del mundo” (4,42), da “vida al mundo” (6,33) y es su luz (8,12; 9,5; 12,46; cf. 1,9). Pero odia a Jesús y a los suyos (7,7; 15,18; 17,14; cf. 16,20) porque Jesús no es “de este mundo” (8,23), ni lo son los suyos (15,19; 17,16), ya que tiene como “príncipe” al diablo (12,31; 14,30; 16,11), por eso no recibe al Espíritu (14,17), no conoce a Dios (17,25), porque no tiene la paz verdadera (14,27). Con su Pascua Jesús ha “vencido al mundo” (16,33) porque su “reino no es de este mundo” </w:t>
      </w:r>
      <w:r w:rsidRPr="004E7D14">
        <w:rPr>
          <w:rFonts w:ascii="Arial" w:eastAsia="Times New Roman" w:hAnsi="Arial" w:cs="Arial"/>
          <w:color w:val="000000"/>
          <w:kern w:val="0"/>
          <w:sz w:val="27"/>
          <w:szCs w:val="27"/>
          <w:lang w:eastAsia="es-UY"/>
          <w14:ligatures w14:val="none"/>
        </w:rPr>
        <w:lastRenderedPageBreak/>
        <w:t>(18,36). Es decir, no se refiere a dos “universos”, como el “cielo y la tierra”, sino a dos grupos diferenciados entre sí por creer o no en Jesús.</w:t>
      </w:r>
    </w:p>
    <w:p w14:paraId="0834B889"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99816D7"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Lo paradojal viene dado en que Dios ama a quienes serán sus adversarios, y como manifestación de ese amor se señala la donación de su Hijo, al que llama “</w:t>
      </w:r>
      <w:r w:rsidRPr="004E7D14">
        <w:rPr>
          <w:rFonts w:ascii="Arial" w:eastAsia="Times New Roman" w:hAnsi="Arial" w:cs="Arial"/>
          <w:i/>
          <w:iCs/>
          <w:color w:val="000000"/>
          <w:kern w:val="0"/>
          <w:sz w:val="27"/>
          <w:szCs w:val="27"/>
          <w:lang w:eastAsia="es-UY"/>
          <w14:ligatures w14:val="none"/>
        </w:rPr>
        <w:t>único</w:t>
      </w:r>
      <w:r w:rsidRPr="004E7D14">
        <w:rPr>
          <w:rFonts w:ascii="Arial" w:eastAsia="Times New Roman" w:hAnsi="Arial" w:cs="Arial"/>
          <w:color w:val="000000"/>
          <w:kern w:val="0"/>
          <w:sz w:val="27"/>
          <w:szCs w:val="27"/>
          <w:lang w:eastAsia="es-UY"/>
          <w14:ligatures w14:val="none"/>
        </w:rPr>
        <w:t>” reforzando el amor y la intimidad (1,14.18; probablemente pensando en Abraham e Isaac, cf. Gen 22,12.16). En Juan el “amor” (</w:t>
      </w:r>
      <w:r w:rsidRPr="004E7D14">
        <w:rPr>
          <w:rFonts w:ascii="Arial" w:eastAsia="Times New Roman" w:hAnsi="Arial" w:cs="Arial"/>
          <w:i/>
          <w:iCs/>
          <w:color w:val="000000"/>
          <w:kern w:val="0"/>
          <w:sz w:val="27"/>
          <w:szCs w:val="27"/>
          <w:lang w:eastAsia="es-UY"/>
          <w14:ligatures w14:val="none"/>
        </w:rPr>
        <w:t>agapê</w:t>
      </w:r>
      <w:r w:rsidRPr="004E7D14">
        <w:rPr>
          <w:rFonts w:ascii="Arial" w:eastAsia="Times New Roman" w:hAnsi="Arial" w:cs="Arial"/>
          <w:color w:val="000000"/>
          <w:kern w:val="0"/>
          <w:sz w:val="27"/>
          <w:szCs w:val="27"/>
          <w:lang w:eastAsia="es-UY"/>
          <w14:ligatures w14:val="none"/>
        </w:rPr>
        <w:t>) es tema clave. Dios amó “</w:t>
      </w:r>
      <w:r w:rsidRPr="004E7D14">
        <w:rPr>
          <w:rFonts w:ascii="Arial" w:eastAsia="Times New Roman" w:hAnsi="Arial" w:cs="Arial"/>
          <w:i/>
          <w:iCs/>
          <w:color w:val="000000"/>
          <w:kern w:val="0"/>
          <w:sz w:val="27"/>
          <w:szCs w:val="27"/>
          <w:lang w:eastAsia="es-UY"/>
          <w14:ligatures w14:val="none"/>
        </w:rPr>
        <w:t>al mundo</w:t>
      </w:r>
      <w:r w:rsidRPr="004E7D14">
        <w:rPr>
          <w:rFonts w:ascii="Arial" w:eastAsia="Times New Roman" w:hAnsi="Arial" w:cs="Arial"/>
          <w:color w:val="000000"/>
          <w:kern w:val="0"/>
          <w:sz w:val="27"/>
          <w:szCs w:val="27"/>
          <w:lang w:eastAsia="es-UY"/>
          <w14:ligatures w14:val="none"/>
        </w:rPr>
        <w:t>” (3,16; 1 Juan 4,9) aunque los “hombres” [</w:t>
      </w:r>
      <w:r w:rsidRPr="004E7D14">
        <w:rPr>
          <w:rFonts w:ascii="Arial" w:eastAsia="Times New Roman" w:hAnsi="Arial" w:cs="Arial"/>
          <w:i/>
          <w:iCs/>
          <w:color w:val="000000"/>
          <w:kern w:val="0"/>
          <w:sz w:val="27"/>
          <w:szCs w:val="27"/>
          <w:lang w:eastAsia="es-UY"/>
          <w14:ligatures w14:val="none"/>
        </w:rPr>
        <w:t>anthrôpoi</w:t>
      </w:r>
      <w:r w:rsidRPr="004E7D14">
        <w:rPr>
          <w:rFonts w:ascii="Arial" w:eastAsia="Times New Roman" w:hAnsi="Arial" w:cs="Arial"/>
          <w:color w:val="000000"/>
          <w:kern w:val="0"/>
          <w:sz w:val="27"/>
          <w:szCs w:val="27"/>
          <w:lang w:eastAsia="es-UY"/>
          <w14:ligatures w14:val="none"/>
        </w:rPr>
        <w:t>] amaron las tinieblas (3,19), tanto ama Él, que nos llama </w:t>
      </w:r>
      <w:r w:rsidRPr="004E7D14">
        <w:rPr>
          <w:rFonts w:ascii="Arial" w:eastAsia="Times New Roman" w:hAnsi="Arial" w:cs="Arial"/>
          <w:i/>
          <w:iCs/>
          <w:color w:val="000000"/>
          <w:kern w:val="0"/>
          <w:sz w:val="27"/>
          <w:szCs w:val="27"/>
          <w:lang w:eastAsia="es-UY"/>
          <w14:ligatures w14:val="none"/>
        </w:rPr>
        <w:t>hijos</w:t>
      </w:r>
      <w:r w:rsidRPr="004E7D14">
        <w:rPr>
          <w:rFonts w:ascii="Arial" w:eastAsia="Times New Roman" w:hAnsi="Arial" w:cs="Arial"/>
          <w:color w:val="000000"/>
          <w:kern w:val="0"/>
          <w:sz w:val="27"/>
          <w:szCs w:val="27"/>
          <w:lang w:eastAsia="es-UY"/>
          <w14:ligatures w14:val="none"/>
        </w:rPr>
        <w:t> (1 Juan 3,1). </w:t>
      </w:r>
      <w:r w:rsidRPr="004E7D14">
        <w:rPr>
          <w:rFonts w:ascii="Arial" w:eastAsia="Times New Roman" w:hAnsi="Arial" w:cs="Arial"/>
          <w:i/>
          <w:iCs/>
          <w:color w:val="000000"/>
          <w:kern w:val="0"/>
          <w:sz w:val="27"/>
          <w:szCs w:val="27"/>
          <w:lang w:eastAsia="es-UY"/>
          <w14:ligatures w14:val="none"/>
        </w:rPr>
        <w:t>El Padre ama</w:t>
      </w:r>
      <w:r w:rsidRPr="004E7D14">
        <w:rPr>
          <w:rFonts w:ascii="Arial" w:eastAsia="Times New Roman" w:hAnsi="Arial" w:cs="Arial"/>
          <w:color w:val="000000"/>
          <w:kern w:val="0"/>
          <w:sz w:val="27"/>
          <w:szCs w:val="27"/>
          <w:lang w:eastAsia="es-UY"/>
          <w14:ligatures w14:val="none"/>
        </w:rPr>
        <w:t> al hijo (3,35; 10,17), y </w:t>
      </w:r>
      <w:r w:rsidRPr="004E7D14">
        <w:rPr>
          <w:rFonts w:ascii="Arial" w:eastAsia="Times New Roman" w:hAnsi="Arial" w:cs="Arial"/>
          <w:i/>
          <w:iCs/>
          <w:color w:val="000000"/>
          <w:kern w:val="0"/>
          <w:sz w:val="27"/>
          <w:szCs w:val="27"/>
          <w:lang w:eastAsia="es-UY"/>
          <w14:ligatures w14:val="none"/>
        </w:rPr>
        <w:t>el hijo al Padre</w:t>
      </w:r>
      <w:r w:rsidRPr="004E7D14">
        <w:rPr>
          <w:rFonts w:ascii="Arial" w:eastAsia="Times New Roman" w:hAnsi="Arial" w:cs="Arial"/>
          <w:color w:val="000000"/>
          <w:kern w:val="0"/>
          <w:sz w:val="27"/>
          <w:szCs w:val="27"/>
          <w:lang w:eastAsia="es-UY"/>
          <w14:ligatures w14:val="none"/>
        </w:rPr>
        <w:t> (14,31), los </w:t>
      </w:r>
      <w:r w:rsidRPr="004E7D14">
        <w:rPr>
          <w:rFonts w:ascii="Arial" w:eastAsia="Times New Roman" w:hAnsi="Arial" w:cs="Arial"/>
          <w:i/>
          <w:iCs/>
          <w:color w:val="000000"/>
          <w:kern w:val="0"/>
          <w:sz w:val="27"/>
          <w:szCs w:val="27"/>
          <w:lang w:eastAsia="es-UY"/>
          <w14:ligatures w14:val="none"/>
        </w:rPr>
        <w:t>amigos</w:t>
      </w:r>
      <w:r w:rsidRPr="004E7D14">
        <w:rPr>
          <w:rFonts w:ascii="Arial" w:eastAsia="Times New Roman" w:hAnsi="Arial" w:cs="Arial"/>
          <w:color w:val="000000"/>
          <w:kern w:val="0"/>
          <w:sz w:val="27"/>
          <w:szCs w:val="27"/>
          <w:lang w:eastAsia="es-UY"/>
          <w14:ligatures w14:val="none"/>
        </w:rPr>
        <w:t> se aman (11,5). El amor de Jesús “a los suyos” fue hasta “</w:t>
      </w:r>
      <w:r w:rsidRPr="004E7D14">
        <w:rPr>
          <w:rFonts w:ascii="Arial" w:eastAsia="Times New Roman" w:hAnsi="Arial" w:cs="Arial"/>
          <w:i/>
          <w:iCs/>
          <w:color w:val="000000"/>
          <w:kern w:val="0"/>
          <w:sz w:val="27"/>
          <w:szCs w:val="27"/>
          <w:lang w:eastAsia="es-UY"/>
          <w14:ligatures w14:val="none"/>
        </w:rPr>
        <w:t>el extremo</w:t>
      </w:r>
      <w:r w:rsidRPr="004E7D14">
        <w:rPr>
          <w:rFonts w:ascii="Arial" w:eastAsia="Times New Roman" w:hAnsi="Arial" w:cs="Arial"/>
          <w:color w:val="000000"/>
          <w:kern w:val="0"/>
          <w:sz w:val="27"/>
          <w:szCs w:val="27"/>
          <w:lang w:eastAsia="es-UY"/>
          <w14:ligatures w14:val="none"/>
        </w:rPr>
        <w:t>” (13,1) e invita a amar “</w:t>
      </w:r>
      <w:r w:rsidRPr="004E7D14">
        <w:rPr>
          <w:rFonts w:ascii="Arial" w:eastAsia="Times New Roman" w:hAnsi="Arial" w:cs="Arial"/>
          <w:i/>
          <w:iCs/>
          <w:color w:val="000000"/>
          <w:kern w:val="0"/>
          <w:sz w:val="27"/>
          <w:szCs w:val="27"/>
          <w:lang w:eastAsia="es-UY"/>
          <w14:ligatures w14:val="none"/>
        </w:rPr>
        <w:t>como él</w:t>
      </w:r>
      <w:r w:rsidRPr="004E7D14">
        <w:rPr>
          <w:rFonts w:ascii="Arial" w:eastAsia="Times New Roman" w:hAnsi="Arial" w:cs="Arial"/>
          <w:color w:val="000000"/>
          <w:kern w:val="0"/>
          <w:sz w:val="27"/>
          <w:szCs w:val="27"/>
          <w:lang w:eastAsia="es-UY"/>
          <w14:ligatures w14:val="none"/>
        </w:rPr>
        <w:t>” (13,34; 15,12), “</w:t>
      </w:r>
      <w:r w:rsidRPr="004E7D14">
        <w:rPr>
          <w:rFonts w:ascii="Arial" w:eastAsia="Times New Roman" w:hAnsi="Arial" w:cs="Arial"/>
          <w:i/>
          <w:iCs/>
          <w:color w:val="000000"/>
          <w:kern w:val="0"/>
          <w:sz w:val="27"/>
          <w:szCs w:val="27"/>
          <w:lang w:eastAsia="es-UY"/>
          <w14:ligatures w14:val="none"/>
        </w:rPr>
        <w:t>hasta dar la vida</w:t>
      </w:r>
      <w:r w:rsidRPr="004E7D14">
        <w:rPr>
          <w:rFonts w:ascii="Arial" w:eastAsia="Times New Roman" w:hAnsi="Arial" w:cs="Arial"/>
          <w:color w:val="000000"/>
          <w:kern w:val="0"/>
          <w:sz w:val="27"/>
          <w:szCs w:val="27"/>
          <w:lang w:eastAsia="es-UY"/>
          <w14:ligatures w14:val="none"/>
        </w:rPr>
        <w:t>” (15,13; 1 Juan 3,16), tanto que el “amor” revela a los “discípulos” (13,35). Hay relación entre “amor” y “mandamientos” (14,15) pero el mandamiento es el del amor (15,17). Hay una interrelación de amar a Jesús, a Dios, y ser amado (14,21.23.24; 15,10; 17,23.26; 1 Juan 4,7.12). El que ama a su hermano permanece “en la luz” (1 Juan 2,10), tanto que no ama a Dios quien no ama a su hermano (1 Juan 3,17; 4,20). Pero </w:t>
      </w:r>
      <w:r w:rsidRPr="004E7D14">
        <w:rPr>
          <w:rFonts w:ascii="Arial" w:eastAsia="Times New Roman" w:hAnsi="Arial" w:cs="Arial"/>
          <w:i/>
          <w:iCs/>
          <w:color w:val="000000"/>
          <w:kern w:val="0"/>
          <w:sz w:val="27"/>
          <w:szCs w:val="27"/>
          <w:lang w:eastAsia="es-UY"/>
          <w14:ligatures w14:val="none"/>
        </w:rPr>
        <w:t>Dios siempre ama primero</w:t>
      </w:r>
      <w:r w:rsidRPr="004E7D14">
        <w:rPr>
          <w:rFonts w:ascii="Arial" w:eastAsia="Times New Roman" w:hAnsi="Arial" w:cs="Arial"/>
          <w:color w:val="000000"/>
          <w:kern w:val="0"/>
          <w:sz w:val="27"/>
          <w:szCs w:val="27"/>
          <w:lang w:eastAsia="es-UY"/>
          <w14:ligatures w14:val="none"/>
        </w:rPr>
        <w:t> (1 Juan 4,10.19) y el amor hace desaparecer el temor (1 Juan 4,18). El amor del Padre por el mundo viene mostrado por su “don”, Jesús es ese don de Dios para que el mundo se salve y tenga vida.</w:t>
      </w:r>
    </w:p>
    <w:p w14:paraId="0AB1235B"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8A60717"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La relación viene dada por “</w:t>
      </w:r>
      <w:r w:rsidRPr="004E7D14">
        <w:rPr>
          <w:rFonts w:ascii="Arial" w:eastAsia="Times New Roman" w:hAnsi="Arial" w:cs="Arial"/>
          <w:i/>
          <w:iCs/>
          <w:color w:val="000000"/>
          <w:kern w:val="0"/>
          <w:sz w:val="27"/>
          <w:szCs w:val="27"/>
          <w:lang w:eastAsia="es-UY"/>
          <w14:ligatures w14:val="none"/>
        </w:rPr>
        <w:t>creer</w:t>
      </w:r>
      <w:r w:rsidRPr="004E7D14">
        <w:rPr>
          <w:rFonts w:ascii="Arial" w:eastAsia="Times New Roman" w:hAnsi="Arial" w:cs="Arial"/>
          <w:color w:val="000000"/>
          <w:kern w:val="0"/>
          <w:sz w:val="27"/>
          <w:szCs w:val="27"/>
          <w:lang w:eastAsia="es-UY"/>
          <w14:ligatures w14:val="none"/>
        </w:rPr>
        <w:t>”, y el contraste entre “</w:t>
      </w:r>
      <w:r w:rsidRPr="004E7D14">
        <w:rPr>
          <w:rFonts w:ascii="Arial" w:eastAsia="Times New Roman" w:hAnsi="Arial" w:cs="Arial"/>
          <w:i/>
          <w:iCs/>
          <w:color w:val="000000"/>
          <w:kern w:val="0"/>
          <w:sz w:val="27"/>
          <w:szCs w:val="27"/>
          <w:lang w:eastAsia="es-UY"/>
          <w14:ligatures w14:val="none"/>
        </w:rPr>
        <w:t>perecer” – tener “vida eterna</w:t>
      </w:r>
      <w:r w:rsidRPr="004E7D14">
        <w:rPr>
          <w:rFonts w:ascii="Arial" w:eastAsia="Times New Roman" w:hAnsi="Arial" w:cs="Arial"/>
          <w:color w:val="000000"/>
          <w:kern w:val="0"/>
          <w:sz w:val="27"/>
          <w:szCs w:val="27"/>
          <w:lang w:eastAsia="es-UY"/>
          <w14:ligatures w14:val="none"/>
        </w:rPr>
        <w:t>” que en v.17 se aclaran como “</w:t>
      </w:r>
      <w:r w:rsidRPr="004E7D14">
        <w:rPr>
          <w:rFonts w:ascii="Arial" w:eastAsia="Times New Roman" w:hAnsi="Arial" w:cs="Arial"/>
          <w:i/>
          <w:iCs/>
          <w:color w:val="000000"/>
          <w:kern w:val="0"/>
          <w:sz w:val="27"/>
          <w:szCs w:val="27"/>
          <w:lang w:eastAsia="es-UY"/>
          <w14:ligatures w14:val="none"/>
        </w:rPr>
        <w:t>juzgar</w:t>
      </w:r>
      <w:r w:rsidRPr="004E7D14">
        <w:rPr>
          <w:rFonts w:ascii="Arial" w:eastAsia="Times New Roman" w:hAnsi="Arial" w:cs="Arial"/>
          <w:color w:val="000000"/>
          <w:kern w:val="0"/>
          <w:sz w:val="27"/>
          <w:szCs w:val="27"/>
          <w:lang w:eastAsia="es-UY"/>
          <w14:ligatures w14:val="none"/>
        </w:rPr>
        <w:t>” y “</w:t>
      </w:r>
      <w:r w:rsidRPr="004E7D14">
        <w:rPr>
          <w:rFonts w:ascii="Arial" w:eastAsia="Times New Roman" w:hAnsi="Arial" w:cs="Arial"/>
          <w:i/>
          <w:iCs/>
          <w:color w:val="000000"/>
          <w:kern w:val="0"/>
          <w:sz w:val="27"/>
          <w:szCs w:val="27"/>
          <w:lang w:eastAsia="es-UY"/>
          <w14:ligatures w14:val="none"/>
        </w:rPr>
        <w:t>salvar</w:t>
      </w:r>
      <w:r w:rsidRPr="004E7D14">
        <w:rPr>
          <w:rFonts w:ascii="Arial" w:eastAsia="Times New Roman" w:hAnsi="Arial" w:cs="Arial"/>
          <w:color w:val="000000"/>
          <w:kern w:val="0"/>
          <w:sz w:val="27"/>
          <w:szCs w:val="27"/>
          <w:lang w:eastAsia="es-UY"/>
          <w14:ligatures w14:val="none"/>
        </w:rPr>
        <w:t>”. Esta relación “</w:t>
      </w:r>
      <w:r w:rsidRPr="004E7D14">
        <w:rPr>
          <w:rFonts w:ascii="Arial" w:eastAsia="Times New Roman" w:hAnsi="Arial" w:cs="Arial"/>
          <w:i/>
          <w:iCs/>
          <w:color w:val="000000"/>
          <w:kern w:val="0"/>
          <w:sz w:val="27"/>
          <w:szCs w:val="27"/>
          <w:lang w:eastAsia="es-UY"/>
          <w14:ligatures w14:val="none"/>
        </w:rPr>
        <w:t>perecer</w:t>
      </w:r>
      <w:r w:rsidRPr="004E7D14">
        <w:rPr>
          <w:rFonts w:ascii="Arial" w:eastAsia="Times New Roman" w:hAnsi="Arial" w:cs="Arial"/>
          <w:color w:val="000000"/>
          <w:kern w:val="0"/>
          <w:sz w:val="27"/>
          <w:szCs w:val="27"/>
          <w:lang w:eastAsia="es-UY"/>
          <w14:ligatures w14:val="none"/>
        </w:rPr>
        <w:t>” – “</w:t>
      </w:r>
      <w:r w:rsidRPr="004E7D14">
        <w:rPr>
          <w:rFonts w:ascii="Arial" w:eastAsia="Times New Roman" w:hAnsi="Arial" w:cs="Arial"/>
          <w:i/>
          <w:iCs/>
          <w:color w:val="000000"/>
          <w:kern w:val="0"/>
          <w:sz w:val="27"/>
          <w:szCs w:val="27"/>
          <w:lang w:eastAsia="es-UY"/>
          <w14:ligatures w14:val="none"/>
        </w:rPr>
        <w:t>ser juzgado</w:t>
      </w:r>
      <w:r w:rsidRPr="004E7D14">
        <w:rPr>
          <w:rFonts w:ascii="Arial" w:eastAsia="Times New Roman" w:hAnsi="Arial" w:cs="Arial"/>
          <w:color w:val="000000"/>
          <w:kern w:val="0"/>
          <w:sz w:val="27"/>
          <w:szCs w:val="27"/>
          <w:lang w:eastAsia="es-UY"/>
          <w14:ligatures w14:val="none"/>
        </w:rPr>
        <w:t>” y tener “</w:t>
      </w:r>
      <w:r w:rsidRPr="004E7D14">
        <w:rPr>
          <w:rFonts w:ascii="Arial" w:eastAsia="Times New Roman" w:hAnsi="Arial" w:cs="Arial"/>
          <w:i/>
          <w:iCs/>
          <w:color w:val="000000"/>
          <w:kern w:val="0"/>
          <w:sz w:val="27"/>
          <w:szCs w:val="27"/>
          <w:lang w:eastAsia="es-UY"/>
          <w14:ligatures w14:val="none"/>
        </w:rPr>
        <w:t>vida eterna</w:t>
      </w:r>
      <w:r w:rsidRPr="004E7D14">
        <w:rPr>
          <w:rFonts w:ascii="Arial" w:eastAsia="Times New Roman" w:hAnsi="Arial" w:cs="Arial"/>
          <w:color w:val="000000"/>
          <w:kern w:val="0"/>
          <w:sz w:val="27"/>
          <w:szCs w:val="27"/>
          <w:lang w:eastAsia="es-UY"/>
          <w14:ligatures w14:val="none"/>
        </w:rPr>
        <w:t>” y “</w:t>
      </w:r>
      <w:r w:rsidRPr="004E7D14">
        <w:rPr>
          <w:rFonts w:ascii="Arial" w:eastAsia="Times New Roman" w:hAnsi="Arial" w:cs="Arial"/>
          <w:i/>
          <w:iCs/>
          <w:color w:val="000000"/>
          <w:kern w:val="0"/>
          <w:sz w:val="27"/>
          <w:szCs w:val="27"/>
          <w:lang w:eastAsia="es-UY"/>
          <w14:ligatures w14:val="none"/>
        </w:rPr>
        <w:t>salvación</w:t>
      </w:r>
      <w:r w:rsidRPr="004E7D14">
        <w:rPr>
          <w:rFonts w:ascii="Arial" w:eastAsia="Times New Roman" w:hAnsi="Arial" w:cs="Arial"/>
          <w:color w:val="000000"/>
          <w:kern w:val="0"/>
          <w:sz w:val="27"/>
          <w:szCs w:val="27"/>
          <w:lang w:eastAsia="es-UY"/>
          <w14:ligatures w14:val="none"/>
        </w:rPr>
        <w:t>” viene dada por el verbo “</w:t>
      </w:r>
      <w:r w:rsidRPr="004E7D14">
        <w:rPr>
          <w:rFonts w:ascii="Arial" w:eastAsia="Times New Roman" w:hAnsi="Arial" w:cs="Arial"/>
          <w:i/>
          <w:iCs/>
          <w:color w:val="000000"/>
          <w:kern w:val="0"/>
          <w:sz w:val="27"/>
          <w:szCs w:val="27"/>
          <w:lang w:eastAsia="es-UY"/>
          <w14:ligatures w14:val="none"/>
        </w:rPr>
        <w:t>creer</w:t>
      </w:r>
      <w:r w:rsidRPr="004E7D14">
        <w:rPr>
          <w:rFonts w:ascii="Arial" w:eastAsia="Times New Roman" w:hAnsi="Arial" w:cs="Arial"/>
          <w:color w:val="000000"/>
          <w:kern w:val="0"/>
          <w:sz w:val="27"/>
          <w:szCs w:val="27"/>
          <w:lang w:eastAsia="es-UY"/>
          <w14:ligatures w14:val="none"/>
        </w:rPr>
        <w:t>” o “</w:t>
      </w:r>
      <w:r w:rsidRPr="004E7D14">
        <w:rPr>
          <w:rFonts w:ascii="Arial" w:eastAsia="Times New Roman" w:hAnsi="Arial" w:cs="Arial"/>
          <w:i/>
          <w:iCs/>
          <w:color w:val="000000"/>
          <w:kern w:val="0"/>
          <w:sz w:val="27"/>
          <w:szCs w:val="27"/>
          <w:lang w:eastAsia="es-UY"/>
          <w14:ligatures w14:val="none"/>
        </w:rPr>
        <w:t>no creer</w:t>
      </w:r>
      <w:r w:rsidRPr="004E7D14">
        <w:rPr>
          <w:rFonts w:ascii="Arial" w:eastAsia="Times New Roman" w:hAnsi="Arial" w:cs="Arial"/>
          <w:color w:val="000000"/>
          <w:kern w:val="0"/>
          <w:sz w:val="27"/>
          <w:szCs w:val="27"/>
          <w:lang w:eastAsia="es-UY"/>
          <w14:ligatures w14:val="none"/>
        </w:rPr>
        <w:t>” (en tiempo perfecto, es decir, no haber creído y seguir en esa actitud increyente), que es creer “</w:t>
      </w:r>
      <w:r w:rsidRPr="004E7D14">
        <w:rPr>
          <w:rFonts w:ascii="Arial" w:eastAsia="Times New Roman" w:hAnsi="Arial" w:cs="Arial"/>
          <w:i/>
          <w:iCs/>
          <w:color w:val="000000"/>
          <w:kern w:val="0"/>
          <w:sz w:val="27"/>
          <w:szCs w:val="27"/>
          <w:lang w:eastAsia="es-UY"/>
          <w14:ligatures w14:val="none"/>
        </w:rPr>
        <w:t>en él</w:t>
      </w:r>
      <w:r w:rsidRPr="004E7D14">
        <w:rPr>
          <w:rFonts w:ascii="Arial" w:eastAsia="Times New Roman" w:hAnsi="Arial" w:cs="Arial"/>
          <w:color w:val="000000"/>
          <w:kern w:val="0"/>
          <w:sz w:val="27"/>
          <w:szCs w:val="27"/>
          <w:lang w:eastAsia="es-UY"/>
          <w14:ligatures w14:val="none"/>
        </w:rPr>
        <w:t>” (el Hijo único) o no creer “</w:t>
      </w:r>
      <w:r w:rsidRPr="004E7D14">
        <w:rPr>
          <w:rFonts w:ascii="Arial" w:eastAsia="Times New Roman" w:hAnsi="Arial" w:cs="Arial"/>
          <w:i/>
          <w:iCs/>
          <w:color w:val="000000"/>
          <w:kern w:val="0"/>
          <w:sz w:val="27"/>
          <w:szCs w:val="27"/>
          <w:lang w:eastAsia="es-UY"/>
          <w14:ligatures w14:val="none"/>
        </w:rPr>
        <w:t>en el nombre</w:t>
      </w:r>
      <w:r w:rsidRPr="004E7D14">
        <w:rPr>
          <w:rFonts w:ascii="Arial" w:eastAsia="Times New Roman" w:hAnsi="Arial" w:cs="Arial"/>
          <w:color w:val="000000"/>
          <w:kern w:val="0"/>
          <w:sz w:val="27"/>
          <w:szCs w:val="27"/>
          <w:lang w:eastAsia="es-UY"/>
          <w14:ligatures w14:val="none"/>
        </w:rPr>
        <w:t>” (= la persona). Los que “</w:t>
      </w:r>
      <w:r w:rsidRPr="004E7D14">
        <w:rPr>
          <w:rFonts w:ascii="Arial" w:eastAsia="Times New Roman" w:hAnsi="Arial" w:cs="Arial"/>
          <w:i/>
          <w:iCs/>
          <w:color w:val="000000"/>
          <w:kern w:val="0"/>
          <w:sz w:val="27"/>
          <w:szCs w:val="27"/>
          <w:lang w:eastAsia="es-UY"/>
          <w14:ligatures w14:val="none"/>
        </w:rPr>
        <w:t>no creen</w:t>
      </w:r>
      <w:r w:rsidRPr="004E7D14">
        <w:rPr>
          <w:rFonts w:ascii="Arial" w:eastAsia="Times New Roman" w:hAnsi="Arial" w:cs="Arial"/>
          <w:color w:val="000000"/>
          <w:kern w:val="0"/>
          <w:sz w:val="27"/>
          <w:szCs w:val="27"/>
          <w:lang w:eastAsia="es-UY"/>
          <w14:ligatures w14:val="none"/>
        </w:rPr>
        <w:t>” son los que constituyen “</w:t>
      </w:r>
      <w:r w:rsidRPr="004E7D14">
        <w:rPr>
          <w:rFonts w:ascii="Arial" w:eastAsia="Times New Roman" w:hAnsi="Arial" w:cs="Arial"/>
          <w:i/>
          <w:iCs/>
          <w:color w:val="000000"/>
          <w:kern w:val="0"/>
          <w:sz w:val="27"/>
          <w:szCs w:val="27"/>
          <w:lang w:eastAsia="es-UY"/>
          <w14:ligatures w14:val="none"/>
        </w:rPr>
        <w:t>el mundo</w:t>
      </w:r>
      <w:r w:rsidRPr="004E7D14">
        <w:rPr>
          <w:rFonts w:ascii="Arial" w:eastAsia="Times New Roman" w:hAnsi="Arial" w:cs="Arial"/>
          <w:color w:val="000000"/>
          <w:kern w:val="0"/>
          <w:sz w:val="27"/>
          <w:szCs w:val="27"/>
          <w:lang w:eastAsia="es-UY"/>
          <w14:ligatures w14:val="none"/>
        </w:rPr>
        <w:t>” a pesar del amor que Dios les ha manifestado ya que su salvación-vida eterna es lo que Dios quiere y ha manifestado en su amor. </w:t>
      </w:r>
    </w:p>
    <w:p w14:paraId="246ADD91"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w:t>
      </w:r>
    </w:p>
    <w:p w14:paraId="32C2BFD8"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w:t>
      </w:r>
    </w:p>
    <w:p w14:paraId="744695D6"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EF20D0"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Dibujo tomado de </w:t>
      </w:r>
      <w:hyperlink r:id="rId8" w:tgtFrame="_blank" w:history="1">
        <w:r w:rsidRPr="004E7D14">
          <w:rPr>
            <w:rFonts w:ascii="Arial" w:eastAsia="Times New Roman" w:hAnsi="Arial" w:cs="Arial"/>
            <w:color w:val="1155CC"/>
            <w:kern w:val="0"/>
            <w:sz w:val="27"/>
            <w:szCs w:val="27"/>
            <w:u w:val="single"/>
            <w:lang w:eastAsia="es-UY"/>
            <w14:ligatures w14:val="none"/>
          </w:rPr>
          <w:t>iconossannicolas.blogspot.com</w:t>
        </w:r>
      </w:hyperlink>
    </w:p>
    <w:p w14:paraId="3ACA9EF5" w14:textId="77777777" w:rsidR="004E7D14" w:rsidRPr="004E7D14" w:rsidRDefault="004E7D14" w:rsidP="004E7D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E7D14">
        <w:rPr>
          <w:rFonts w:ascii="Arial" w:eastAsia="Times New Roman" w:hAnsi="Arial" w:cs="Arial"/>
          <w:color w:val="000000"/>
          <w:kern w:val="0"/>
          <w:sz w:val="27"/>
          <w:szCs w:val="27"/>
          <w:lang w:eastAsia="es-UY"/>
          <w14:ligatures w14:val="none"/>
        </w:rPr>
        <w:t> </w:t>
      </w:r>
    </w:p>
    <w:p w14:paraId="0A40FD37" w14:textId="77777777" w:rsidR="004E7D14" w:rsidRPr="004E7D14" w:rsidRDefault="004E7D14" w:rsidP="004E7D14">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3DAA8F2" w14:textId="7A3EE325" w:rsidR="00926044" w:rsidRDefault="004E7D14" w:rsidP="004E7D14">
      <w:r w:rsidRPr="004E7D14">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14"/>
    <w:rsid w:val="003079BF"/>
    <w:rsid w:val="004E7D1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CA08"/>
  <w15:chartTrackingRefBased/>
  <w15:docId w15:val="{81028958-00DE-4BF7-88A5-0D65F168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7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7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7D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7D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7D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7D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7D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7D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7D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7D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7D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7D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7D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7D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7D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7D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7D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7D14"/>
    <w:rPr>
      <w:rFonts w:eastAsiaTheme="majorEastAsia" w:cstheme="majorBidi"/>
      <w:color w:val="272727" w:themeColor="text1" w:themeTint="D8"/>
    </w:rPr>
  </w:style>
  <w:style w:type="paragraph" w:styleId="Ttulo">
    <w:name w:val="Title"/>
    <w:basedOn w:val="Normal"/>
    <w:next w:val="Normal"/>
    <w:link w:val="TtuloCar"/>
    <w:uiPriority w:val="10"/>
    <w:qFormat/>
    <w:rsid w:val="004E7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7D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7D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7D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7D14"/>
    <w:pPr>
      <w:spacing w:before="160"/>
      <w:jc w:val="center"/>
    </w:pPr>
    <w:rPr>
      <w:i/>
      <w:iCs/>
      <w:color w:val="404040" w:themeColor="text1" w:themeTint="BF"/>
    </w:rPr>
  </w:style>
  <w:style w:type="character" w:customStyle="1" w:styleId="CitaCar">
    <w:name w:val="Cita Car"/>
    <w:basedOn w:val="Fuentedeprrafopredeter"/>
    <w:link w:val="Cita"/>
    <w:uiPriority w:val="29"/>
    <w:rsid w:val="004E7D14"/>
    <w:rPr>
      <w:i/>
      <w:iCs/>
      <w:color w:val="404040" w:themeColor="text1" w:themeTint="BF"/>
    </w:rPr>
  </w:style>
  <w:style w:type="paragraph" w:styleId="Prrafodelista">
    <w:name w:val="List Paragraph"/>
    <w:basedOn w:val="Normal"/>
    <w:uiPriority w:val="34"/>
    <w:qFormat/>
    <w:rsid w:val="004E7D14"/>
    <w:pPr>
      <w:ind w:left="720"/>
      <w:contextualSpacing/>
    </w:pPr>
  </w:style>
  <w:style w:type="character" w:styleId="nfasisintenso">
    <w:name w:val="Intense Emphasis"/>
    <w:basedOn w:val="Fuentedeprrafopredeter"/>
    <w:uiPriority w:val="21"/>
    <w:qFormat/>
    <w:rsid w:val="004E7D14"/>
    <w:rPr>
      <w:i/>
      <w:iCs/>
      <w:color w:val="0F4761" w:themeColor="accent1" w:themeShade="BF"/>
    </w:rPr>
  </w:style>
  <w:style w:type="paragraph" w:styleId="Citadestacada">
    <w:name w:val="Intense Quote"/>
    <w:basedOn w:val="Normal"/>
    <w:next w:val="Normal"/>
    <w:link w:val="CitadestacadaCar"/>
    <w:uiPriority w:val="30"/>
    <w:qFormat/>
    <w:rsid w:val="004E7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7D14"/>
    <w:rPr>
      <w:i/>
      <w:iCs/>
      <w:color w:val="0F4761" w:themeColor="accent1" w:themeShade="BF"/>
    </w:rPr>
  </w:style>
  <w:style w:type="character" w:styleId="Referenciaintensa">
    <w:name w:val="Intense Reference"/>
    <w:basedOn w:val="Fuentedeprrafopredeter"/>
    <w:uiPriority w:val="32"/>
    <w:qFormat/>
    <w:rsid w:val="004E7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5086083673616366479"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B8iI4HQCjnu1rY0bB3kWp_jFuF7vGAnvXYt8HkspyUFItrP5hCl7_ytDGZaCqzEUqskz0DIhHv1IdKqgYizesMOMa2UIYo4rYebM8Q-QO_eXbeSqOvjEW_kiZv4wybcVFFxfJSjr7g8tY3NITv6iqJV_QumxQsl1vE4SEKVdCbdI6A1v5HYGw0WMlOx4/s592/Esquema%201.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5086083673616366479"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8344</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2025-09-09T14:53:00Z</dcterms:created>
  <dcterms:modified xsi:type="dcterms:W3CDTF">2025-09-09T14:53:00Z</dcterms:modified>
</cp:coreProperties>
</file>