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EE49" w14:textId="068EDAC6" w:rsidR="00C56F47" w:rsidRPr="0060735D" w:rsidRDefault="00C56F47" w:rsidP="0091523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0735D">
        <w:rPr>
          <w:b/>
          <w:bCs/>
          <w:sz w:val="28"/>
          <w:szCs w:val="28"/>
        </w:rPr>
        <w:t>Mistagogia</w:t>
      </w:r>
    </w:p>
    <w:p w14:paraId="74766CB9" w14:textId="068AC323" w:rsidR="00FE01AF" w:rsidRPr="00FC2BBC" w:rsidRDefault="00C56F47" w:rsidP="00915239">
      <w:pPr>
        <w:spacing w:after="0" w:line="240" w:lineRule="auto"/>
        <w:jc w:val="center"/>
        <w:rPr>
          <w:b/>
          <w:bCs/>
        </w:rPr>
      </w:pPr>
      <w:r w:rsidRPr="00FC2BBC">
        <w:rPr>
          <w:b/>
          <w:bCs/>
        </w:rPr>
        <w:t>Passagem da religião para a fé</w:t>
      </w:r>
      <w:r w:rsidR="00254102" w:rsidRPr="00FC2BBC">
        <w:rPr>
          <w:b/>
          <w:bCs/>
        </w:rPr>
        <w:t xml:space="preserve"> de Jesus</w:t>
      </w:r>
    </w:p>
    <w:p w14:paraId="2DC114DA" w14:textId="77777777" w:rsidR="007C6F16" w:rsidRDefault="007C6F16" w:rsidP="00915239">
      <w:pPr>
        <w:spacing w:after="0" w:line="240" w:lineRule="auto"/>
        <w:jc w:val="center"/>
      </w:pPr>
    </w:p>
    <w:p w14:paraId="65536A4E" w14:textId="36956ADB" w:rsidR="00915239" w:rsidRPr="00915239" w:rsidRDefault="00915239" w:rsidP="00915239">
      <w:pPr>
        <w:spacing w:after="0" w:line="240" w:lineRule="auto"/>
        <w:jc w:val="right"/>
        <w:rPr>
          <w:sz w:val="20"/>
          <w:szCs w:val="20"/>
        </w:rPr>
      </w:pPr>
      <w:r w:rsidRPr="00915239">
        <w:rPr>
          <w:sz w:val="20"/>
          <w:szCs w:val="20"/>
        </w:rPr>
        <w:t>Pe. Rogério L. Zanini</w:t>
      </w:r>
    </w:p>
    <w:p w14:paraId="1D31242F" w14:textId="77777777" w:rsidR="00915239" w:rsidRDefault="00915239" w:rsidP="00915239">
      <w:pPr>
        <w:spacing w:after="0" w:line="240" w:lineRule="auto"/>
        <w:jc w:val="right"/>
      </w:pPr>
    </w:p>
    <w:p w14:paraId="660AB696" w14:textId="2343677A" w:rsidR="00E437E4" w:rsidRPr="00E437E4" w:rsidRDefault="00E437E4" w:rsidP="00E437E4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E81359">
        <w:rPr>
          <w:shd w:val="clear" w:color="auto" w:fill="FFFFFF"/>
        </w:rPr>
        <w:t>O</w:t>
      </w:r>
      <w:r w:rsidRPr="00E437E4">
        <w:rPr>
          <w:shd w:val="clear" w:color="auto" w:fill="FFFFFF"/>
        </w:rPr>
        <w:t xml:space="preserve"> tema da religião e da fé é muito importante na vida dos batizados. O cristianismo se alicerça na pessoa de Jesus Cristo. Ele rezava e deixou aos seus seguidores o legado da oração. É claro que as orações de Jesus estavam em sintonia com a cultura judaica de sua época. Quando os discípulos lhe pediram que os ensinasse a rezar, Jesus compôs uma oração simples, mas profundamente desafiadora. Colocou no centro da oração um Deus que é Pai de todos – o </w:t>
      </w:r>
      <w:r w:rsidRPr="00E437E4">
        <w:rPr>
          <w:i/>
          <w:iCs/>
          <w:shd w:val="clear" w:color="auto" w:fill="FFFFFF"/>
        </w:rPr>
        <w:t>Pai Nosso</w:t>
      </w:r>
      <w:r w:rsidRPr="00E437E4">
        <w:rPr>
          <w:shd w:val="clear" w:color="auto" w:fill="FFFFFF"/>
        </w:rPr>
        <w:t>. Em seguida, recordou a necessidade do alimento – “o pão nosso de cada dia”. Por fim, destacou a importância das relações humanas, com o perdão como fonte de alegria e paz.</w:t>
      </w:r>
      <w:r w:rsidRPr="00E81359">
        <w:rPr>
          <w:shd w:val="clear" w:color="auto" w:fill="FFFFFF"/>
        </w:rPr>
        <w:t xml:space="preserve"> </w:t>
      </w:r>
      <w:r w:rsidRPr="00E437E4">
        <w:rPr>
          <w:shd w:val="clear" w:color="auto" w:fill="FFFFFF"/>
        </w:rPr>
        <w:t>Assim, a oração do Senhor articula três dimensões fundamentais: a referência a Deus, essencial para a vida cristã; a centralidade do pão e da mesa, sem os quais não há vida; e as relações fraternas, que dão sabor aos alimentos e sentido à existência humana (Mt 6,9-13; Lc 11,2-4).</w:t>
      </w:r>
    </w:p>
    <w:p w14:paraId="6D3D5E31" w14:textId="457BDA8F" w:rsidR="00E437E4" w:rsidRPr="00E81359" w:rsidRDefault="00E437E4" w:rsidP="00E437E4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E437E4">
        <w:rPr>
          <w:shd w:val="clear" w:color="auto" w:fill="FFFFFF"/>
        </w:rPr>
        <w:t>Essa oração, testemunhada por Jesus, caminha pela história com suas dificuldades. Nunca foi simples aceitar um Deus Pai que quer o bem e a vida de todas as pessoas. Basta ver o quanto tem sido difícil sustentar a opção de Deus pelos pobres. A luta dos últimos papas testemunha essa tensão.</w:t>
      </w:r>
      <w:r w:rsidRPr="00E81359">
        <w:rPr>
          <w:shd w:val="clear" w:color="auto" w:fill="FFFFFF"/>
        </w:rPr>
        <w:t xml:space="preserve"> </w:t>
      </w:r>
      <w:r w:rsidRPr="00E437E4">
        <w:rPr>
          <w:shd w:val="clear" w:color="auto" w:fill="FFFFFF"/>
        </w:rPr>
        <w:t xml:space="preserve">João Paulo II </w:t>
      </w:r>
      <w:r w:rsidRPr="00E81359">
        <w:rPr>
          <w:shd w:val="clear" w:color="auto" w:fill="FFFFFF"/>
        </w:rPr>
        <w:t xml:space="preserve">compreendeu e reconheceu </w:t>
      </w:r>
      <w:r w:rsidRPr="00E437E4">
        <w:rPr>
          <w:shd w:val="clear" w:color="auto" w:fill="FFFFFF"/>
        </w:rPr>
        <w:t xml:space="preserve">a necessidade de uma </w:t>
      </w:r>
      <w:r w:rsidRPr="00E437E4">
        <w:rPr>
          <w:i/>
          <w:iCs/>
          <w:shd w:val="clear" w:color="auto" w:fill="FFFFFF"/>
        </w:rPr>
        <w:t>teologia da libertação útil e necessária</w:t>
      </w:r>
      <w:r w:rsidRPr="00E437E4">
        <w:rPr>
          <w:shd w:val="clear" w:color="auto" w:fill="FFFFFF"/>
        </w:rPr>
        <w:t>, capaz de promover a libertação dos pobres e excluídos.</w:t>
      </w:r>
      <w:r w:rsidRPr="00E81359">
        <w:rPr>
          <w:shd w:val="clear" w:color="auto" w:fill="FFFFFF"/>
        </w:rPr>
        <w:t xml:space="preserve"> </w:t>
      </w:r>
      <w:r w:rsidRPr="00E437E4">
        <w:rPr>
          <w:shd w:val="clear" w:color="auto" w:fill="FFFFFF"/>
        </w:rPr>
        <w:t>Bento XVI, na Conferência de Aparecida (2007), reconheceu a presença implícita de Jesus nos pobres da história.</w:t>
      </w:r>
      <w:r w:rsidRPr="00E81359">
        <w:rPr>
          <w:shd w:val="clear" w:color="auto" w:fill="FFFFFF"/>
        </w:rPr>
        <w:t xml:space="preserve"> </w:t>
      </w:r>
      <w:r w:rsidR="004C283A">
        <w:rPr>
          <w:shd w:val="clear" w:color="auto" w:fill="FFFFFF"/>
        </w:rPr>
        <w:t>“</w:t>
      </w:r>
      <w:r w:rsidR="004C283A" w:rsidRPr="004C283A">
        <w:rPr>
          <w:shd w:val="clear" w:color="auto" w:fill="FFFFFF"/>
        </w:rPr>
        <w:t>a opção preferencial pelos pobres está implícita na fé cristológica naquele Deus que se fez pobre por nós, para nos enriquecer com sua pobreza”</w:t>
      </w:r>
      <w:r w:rsidR="004C283A">
        <w:rPr>
          <w:shd w:val="clear" w:color="auto" w:fill="FFFFFF"/>
        </w:rPr>
        <w:t xml:space="preserve"> (DI 3).</w:t>
      </w:r>
      <w:r w:rsidR="00BC2725">
        <w:rPr>
          <w:shd w:val="clear" w:color="auto" w:fill="FFFFFF"/>
        </w:rPr>
        <w:t xml:space="preserve"> </w:t>
      </w:r>
      <w:r w:rsidRPr="00E437E4">
        <w:rPr>
          <w:shd w:val="clear" w:color="auto" w:fill="FFFFFF"/>
        </w:rPr>
        <w:t>Francisco reafirmou: “No coração de Deus, ocupam lugar preferencial os pobres, tanto que até Ele mesmo ‘se fez pobre’ (2Cor 8,9). Todo o caminho da nossa redenção está assinalado pelos pobres” (</w:t>
      </w:r>
      <w:r w:rsidRPr="00E437E4">
        <w:rPr>
          <w:i/>
          <w:iCs/>
          <w:shd w:val="clear" w:color="auto" w:fill="FFFFFF"/>
        </w:rPr>
        <w:t>Evangelii Gaudium</w:t>
      </w:r>
      <w:r w:rsidRPr="00E437E4">
        <w:rPr>
          <w:shd w:val="clear" w:color="auto" w:fill="FFFFFF"/>
        </w:rPr>
        <w:t>, 197).</w:t>
      </w:r>
      <w:r w:rsidRPr="00E81359">
        <w:rPr>
          <w:shd w:val="clear" w:color="auto" w:fill="FFFFFF"/>
        </w:rPr>
        <w:t xml:space="preserve"> </w:t>
      </w:r>
      <w:r w:rsidRPr="00E437E4">
        <w:rPr>
          <w:shd w:val="clear" w:color="auto" w:fill="FFFFFF"/>
        </w:rPr>
        <w:t xml:space="preserve">E agora, Leão XIV, logo na sua primeira Exortação Apostólica, escreveu </w:t>
      </w:r>
      <w:r w:rsidRPr="00E81359">
        <w:rPr>
          <w:shd w:val="clear" w:color="auto" w:fill="FFFFFF"/>
        </w:rPr>
        <w:t>“</w:t>
      </w:r>
      <w:r w:rsidRPr="00E437E4">
        <w:rPr>
          <w:i/>
          <w:iCs/>
          <w:shd w:val="clear" w:color="auto" w:fill="FFFFFF"/>
        </w:rPr>
        <w:t>Sobre o amor para com os pobres</w:t>
      </w:r>
      <w:r w:rsidRPr="00E81359">
        <w:rPr>
          <w:i/>
          <w:iCs/>
          <w:shd w:val="clear" w:color="auto" w:fill="FFFFFF"/>
        </w:rPr>
        <w:t>”</w:t>
      </w:r>
      <w:r w:rsidRPr="00E437E4">
        <w:rPr>
          <w:shd w:val="clear" w:color="auto" w:fill="FFFFFF"/>
        </w:rPr>
        <w:t xml:space="preserve"> </w:t>
      </w:r>
      <w:r w:rsidRPr="00E81359">
        <w:rPr>
          <w:shd w:val="clear" w:color="auto" w:fill="FFFFFF"/>
        </w:rPr>
        <w:t>(D</w:t>
      </w:r>
      <w:r w:rsidR="008328AB" w:rsidRPr="00E81359">
        <w:rPr>
          <w:shd w:val="clear" w:color="auto" w:fill="FFFFFF"/>
        </w:rPr>
        <w:t>ilexi Te – eu te amei).</w:t>
      </w:r>
      <w:r w:rsidR="0023032E">
        <w:rPr>
          <w:shd w:val="clear" w:color="auto" w:fill="FFFFFF"/>
        </w:rPr>
        <w:t xml:space="preserve"> “Deus escolhe os pobres” (Cap. II).</w:t>
      </w:r>
    </w:p>
    <w:p w14:paraId="071B1DD9" w14:textId="4A577C01" w:rsidR="00E437E4" w:rsidRPr="00E437E4" w:rsidRDefault="00E437E4" w:rsidP="00E437E4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E437E4">
        <w:rPr>
          <w:shd w:val="clear" w:color="auto" w:fill="FFFFFF"/>
        </w:rPr>
        <w:t xml:space="preserve">Da mesma forma, podemos reconhecer as dificuldades de viver as dimensões do pão e das relações humanas, presentes na oração do Pai-Nosso. Ainda que não seja possível aprofundar aqui, é evidente que o “pão nosso”, embora abundante em nível local e mundial, continua faltando à mesa de milhões. Há celeiros cheios e acumulação excessiva, enquanto persistem mortes por fome </w:t>
      </w:r>
      <w:r w:rsidR="008D7204">
        <w:rPr>
          <w:shd w:val="clear" w:color="auto" w:fill="FFFFFF"/>
        </w:rPr>
        <w:t>-</w:t>
      </w:r>
      <w:r w:rsidRPr="00E437E4">
        <w:rPr>
          <w:shd w:val="clear" w:color="auto" w:fill="FFFFFF"/>
        </w:rPr>
        <w:t xml:space="preserve"> e, muitas vezes, essa injustiça é legitimada como se fosse “vontade de Deus”.</w:t>
      </w:r>
      <w:r w:rsidR="00BD1239" w:rsidRPr="00E81359">
        <w:rPr>
          <w:shd w:val="clear" w:color="auto" w:fill="FFFFFF"/>
        </w:rPr>
        <w:t xml:space="preserve"> </w:t>
      </w:r>
      <w:r w:rsidRPr="00E437E4">
        <w:rPr>
          <w:shd w:val="clear" w:color="auto" w:fill="FFFFFF"/>
        </w:rPr>
        <w:t>As relações humanas também atravessam uma crise profunda: as pessoas parecem incapazes de viver e conviver sob a mesma tenda. Crescem as guerras, os conflitos e as divisões, e as relações se tornam cada vez mais frágeis nas famílias, comunidades e povos.</w:t>
      </w:r>
    </w:p>
    <w:p w14:paraId="3654C2A8" w14:textId="50B24EC4" w:rsidR="00E437E4" w:rsidRPr="00E437E4" w:rsidRDefault="00E437E4" w:rsidP="00E437E4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E437E4">
        <w:rPr>
          <w:shd w:val="clear" w:color="auto" w:fill="FFFFFF"/>
        </w:rPr>
        <w:lastRenderedPageBreak/>
        <w:t>Acompanhados por Jesus de Nazaré e pelo magistério da Igreja, seguimos peregrinando e testemunhando a fé cristã. No corpo eclesial, porém, nem sempre essa perspectiva evangélica e magisterial é acolhida com alegria e entusiasmo. Os desafios são muitos. Percebe-se uma insistência na prática da oração, mas a maior dificuldade talvez esteja no conteúdo do que se reza e nas consequências cristãs da oração.</w:t>
      </w:r>
      <w:r w:rsidR="00BD1239" w:rsidRPr="00E81359">
        <w:rPr>
          <w:shd w:val="clear" w:color="auto" w:fill="FFFFFF"/>
        </w:rPr>
        <w:t xml:space="preserve"> </w:t>
      </w:r>
      <w:r w:rsidRPr="00E437E4">
        <w:rPr>
          <w:shd w:val="clear" w:color="auto" w:fill="FFFFFF"/>
        </w:rPr>
        <w:t>Há um aumento significativo de práticas orantes: rezas em encontros, aulas, aniversários, festas de padroeiro; novenas, procissões e até expressões religiosas no ambiente virtual. Mas é preciso perguntar: onde a oração ainda não está presente hoje?</w:t>
      </w:r>
    </w:p>
    <w:p w14:paraId="6CBC830A" w14:textId="7A8E186A" w:rsidR="00E437E4" w:rsidRPr="00E437E4" w:rsidRDefault="00E437E4" w:rsidP="00E437E4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E437E4">
        <w:rPr>
          <w:shd w:val="clear" w:color="auto" w:fill="FFFFFF"/>
        </w:rPr>
        <w:t xml:space="preserve">Vivemos, talvez, um excesso de oração, que corre o risco de tornar as pessoas excessivamente religiosas, sem que isso as torne mais </w:t>
      </w:r>
      <w:r w:rsidR="00E6209E" w:rsidRPr="00E81359">
        <w:rPr>
          <w:shd w:val="clear" w:color="auto" w:fill="FFFFFF"/>
        </w:rPr>
        <w:t>humanas/cristãs</w:t>
      </w:r>
      <w:r w:rsidRPr="00E437E4">
        <w:rPr>
          <w:shd w:val="clear" w:color="auto" w:fill="FFFFFF"/>
        </w:rPr>
        <w:t>. Segundo o último censo, a grande maioria das pessoas se declara religiosa. Esses números, porém, suscitam uma pergunta: quais as consequências de uma sociedade tão religiosa? É legítimo suspeitar que essa religiosidade nem sempre conduz à fé cristã autêntica. Em outras palavras, parece haver uma religião sem espiritualidade, uma prática religiosa que não leva ao seguimento de Jesus.</w:t>
      </w:r>
    </w:p>
    <w:p w14:paraId="16FC18F0" w14:textId="48558009" w:rsidR="00E437E4" w:rsidRPr="00E437E4" w:rsidRDefault="00E437E4" w:rsidP="00E437E4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E437E4">
        <w:rPr>
          <w:shd w:val="clear" w:color="auto" w:fill="FFFFFF"/>
        </w:rPr>
        <w:t>Embora religião e fé caminhem juntas, elas não se confundem. A fé, no fundo, é sempre aquela que impulsiona e questiona a religião. A religião tem a missão de ritualizar a fé, tornando-a prática e acessível; mas corre o risco de substituir a fé, colocando-se em seu lugar.</w:t>
      </w:r>
      <w:r w:rsidR="00E6209E" w:rsidRPr="00E81359">
        <w:rPr>
          <w:shd w:val="clear" w:color="auto" w:fill="FFFFFF"/>
        </w:rPr>
        <w:t xml:space="preserve"> </w:t>
      </w:r>
      <w:r w:rsidRPr="00E437E4">
        <w:rPr>
          <w:shd w:val="clear" w:color="auto" w:fill="FFFFFF"/>
        </w:rPr>
        <w:t>Por isso, é essencial manter ambas em relação, mas sempre preservando a primazia da fé sobre a religião. A fé oferece o espírito, a consciência crítica e os critérios evangélicos que permitem discernir e purificar as práticas religiosas.</w:t>
      </w:r>
    </w:p>
    <w:p w14:paraId="568F3B0E" w14:textId="3415935E" w:rsidR="00E342A5" w:rsidRPr="00E81359" w:rsidRDefault="0006390A" w:rsidP="00915239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E81359">
        <w:rPr>
          <w:shd w:val="clear" w:color="auto" w:fill="FFFFFF"/>
        </w:rPr>
        <w:t>Para aprofundar a reflexão sobre a relação entre fé (ou espiritualidade) e religião, recorremos a um quadro comparativo elaborado pelo biblista Isidoro Mazzarollo. Apresentamos, a seguir, uma tabela ilustrativa, que busca apenas sugerir caminhos de compreensão, sem qualquer pretensão dogmática ou conclusiva</w:t>
      </w:r>
      <w:r w:rsidR="00B442C3" w:rsidRPr="00E81359">
        <w:rPr>
          <w:shd w:val="clear" w:color="auto" w:fill="FFFFFF"/>
        </w:rPr>
        <w:t>.</w:t>
      </w:r>
      <w:r w:rsidR="00E342A5" w:rsidRPr="00E81359">
        <w:rPr>
          <w:rStyle w:val="Refdenotaalpie"/>
          <w:shd w:val="clear" w:color="auto" w:fill="FFFFFF"/>
        </w:rPr>
        <w:footnoteReference w:id="1"/>
      </w: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4815"/>
        <w:gridCol w:w="4394"/>
      </w:tblGrid>
      <w:tr w:rsidR="00915239" w:rsidRPr="00915239" w14:paraId="4D7AA88E" w14:textId="77777777" w:rsidTr="00915239">
        <w:trPr>
          <w:jc w:val="center"/>
        </w:trPr>
        <w:tc>
          <w:tcPr>
            <w:tcW w:w="4815" w:type="dxa"/>
          </w:tcPr>
          <w:p w14:paraId="722502F5" w14:textId="79391E03" w:rsidR="00915239" w:rsidRPr="00915239" w:rsidRDefault="00915239" w:rsidP="00E2474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Espiritualidade</w:t>
            </w:r>
          </w:p>
        </w:tc>
        <w:tc>
          <w:tcPr>
            <w:tcW w:w="4394" w:type="dxa"/>
          </w:tcPr>
          <w:p w14:paraId="10EF757B" w14:textId="74607DB0" w:rsidR="00915239" w:rsidRPr="00915239" w:rsidRDefault="00915239" w:rsidP="00E2474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Religião</w:t>
            </w:r>
          </w:p>
        </w:tc>
      </w:tr>
      <w:tr w:rsidR="00E342A5" w:rsidRPr="00915239" w14:paraId="18B1FB77" w14:textId="77777777" w:rsidTr="00915239">
        <w:trPr>
          <w:jc w:val="center"/>
        </w:trPr>
        <w:tc>
          <w:tcPr>
            <w:tcW w:w="4815" w:type="dxa"/>
          </w:tcPr>
          <w:p w14:paraId="7D9F9B8B" w14:textId="4E35789A" w:rsidR="00E342A5" w:rsidRPr="00915239" w:rsidRDefault="00915239" w:rsidP="00E2474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B442C3">
              <w:rPr>
                <w:i/>
                <w:iCs/>
                <w:sz w:val="22"/>
                <w:szCs w:val="22"/>
                <w:shd w:val="clear" w:color="auto" w:fill="FFFFFF"/>
              </w:rPr>
              <w:t>Spiritus</w:t>
            </w:r>
            <w:r w:rsidRPr="00915239">
              <w:rPr>
                <w:sz w:val="22"/>
                <w:szCs w:val="22"/>
                <w:shd w:val="clear" w:color="auto" w:fill="FFFFFF"/>
              </w:rPr>
              <w:t>/animus/sopro</w:t>
            </w:r>
          </w:p>
        </w:tc>
        <w:tc>
          <w:tcPr>
            <w:tcW w:w="4394" w:type="dxa"/>
          </w:tcPr>
          <w:p w14:paraId="6F1F23EC" w14:textId="367897C0" w:rsidR="00E342A5" w:rsidRPr="00915239" w:rsidRDefault="00E342A5" w:rsidP="00E2474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Rito, gesto, expressão</w:t>
            </w:r>
          </w:p>
        </w:tc>
      </w:tr>
      <w:tr w:rsidR="00E342A5" w:rsidRPr="00915239" w14:paraId="00BF0964" w14:textId="77777777" w:rsidTr="00915239">
        <w:trPr>
          <w:jc w:val="center"/>
        </w:trPr>
        <w:tc>
          <w:tcPr>
            <w:tcW w:w="4815" w:type="dxa"/>
          </w:tcPr>
          <w:p w14:paraId="7F08B8E7" w14:textId="08F85038" w:rsidR="00E342A5" w:rsidRPr="00915239" w:rsidRDefault="00E342A5" w:rsidP="00E2474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 xml:space="preserve">É a </w:t>
            </w:r>
            <w:r w:rsidRPr="00B442C3">
              <w:rPr>
                <w:i/>
                <w:iCs/>
                <w:sz w:val="22"/>
                <w:szCs w:val="22"/>
                <w:shd w:val="clear" w:color="auto" w:fill="FFFFFF"/>
              </w:rPr>
              <w:t>dynamis</w:t>
            </w:r>
            <w:r w:rsidRPr="00915239">
              <w:rPr>
                <w:sz w:val="22"/>
                <w:szCs w:val="22"/>
                <w:shd w:val="clear" w:color="auto" w:fill="FFFFFF"/>
              </w:rPr>
              <w:t xml:space="preserve"> (força) que provoca a ação</w:t>
            </w:r>
          </w:p>
        </w:tc>
        <w:tc>
          <w:tcPr>
            <w:tcW w:w="4394" w:type="dxa"/>
          </w:tcPr>
          <w:p w14:paraId="0CAA6A5C" w14:textId="54148FF7" w:rsidR="00E342A5" w:rsidRPr="00915239" w:rsidRDefault="00E342A5" w:rsidP="00E2474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A manifestação resultante de uma convicção ou de uma “convencionalidade”</w:t>
            </w:r>
          </w:p>
        </w:tc>
      </w:tr>
      <w:tr w:rsidR="00E342A5" w:rsidRPr="00915239" w14:paraId="3E59CDF2" w14:textId="77777777" w:rsidTr="00915239">
        <w:trPr>
          <w:jc w:val="center"/>
        </w:trPr>
        <w:tc>
          <w:tcPr>
            <w:tcW w:w="4815" w:type="dxa"/>
          </w:tcPr>
          <w:p w14:paraId="5F8DB16C" w14:textId="0E384FC0" w:rsidR="00E342A5" w:rsidRPr="00915239" w:rsidRDefault="00E342A5" w:rsidP="00E24746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Está dentro da pessoa</w:t>
            </w:r>
          </w:p>
          <w:p w14:paraId="3BD7FD1F" w14:textId="77777777" w:rsidR="00E342A5" w:rsidRPr="00915239" w:rsidRDefault="00E342A5" w:rsidP="00E24746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94" w:type="dxa"/>
          </w:tcPr>
          <w:p w14:paraId="68166627" w14:textId="7B28E2CA" w:rsidR="00E342A5" w:rsidRPr="00915239" w:rsidRDefault="00E342A5" w:rsidP="00E24746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Está fora da pessoa</w:t>
            </w:r>
          </w:p>
        </w:tc>
      </w:tr>
      <w:tr w:rsidR="00E342A5" w:rsidRPr="00915239" w14:paraId="6B07D15A" w14:textId="77777777" w:rsidTr="00915239">
        <w:trPr>
          <w:jc w:val="center"/>
        </w:trPr>
        <w:tc>
          <w:tcPr>
            <w:tcW w:w="4815" w:type="dxa"/>
          </w:tcPr>
          <w:p w14:paraId="163E8659" w14:textId="12625B84" w:rsidR="00E342A5" w:rsidRPr="00915239" w:rsidRDefault="00E342A5" w:rsidP="00B442C3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É a energia da fé, a motivação em movimento</w:t>
            </w:r>
          </w:p>
        </w:tc>
        <w:tc>
          <w:tcPr>
            <w:tcW w:w="4394" w:type="dxa"/>
          </w:tcPr>
          <w:p w14:paraId="583E2B4A" w14:textId="77777777" w:rsidR="00E342A5" w:rsidRPr="00915239" w:rsidRDefault="00E342A5" w:rsidP="00E24746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É o vigor do rito, a certeza do dogma</w:t>
            </w:r>
          </w:p>
          <w:p w14:paraId="77B4B81B" w14:textId="77777777" w:rsidR="00E342A5" w:rsidRPr="00915239" w:rsidRDefault="00E342A5" w:rsidP="00E24746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E342A5" w:rsidRPr="00915239" w14:paraId="5145B8D2" w14:textId="77777777" w:rsidTr="00915239">
        <w:trPr>
          <w:jc w:val="center"/>
        </w:trPr>
        <w:tc>
          <w:tcPr>
            <w:tcW w:w="4815" w:type="dxa"/>
          </w:tcPr>
          <w:p w14:paraId="1D7FA02C" w14:textId="215835E5" w:rsidR="00E342A5" w:rsidRPr="00915239" w:rsidRDefault="00E342A5" w:rsidP="00E24746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Está no gene, íntimo</w:t>
            </w:r>
          </w:p>
          <w:p w14:paraId="25F7591E" w14:textId="77777777" w:rsidR="00E342A5" w:rsidRPr="00915239" w:rsidRDefault="00E342A5" w:rsidP="00E24746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94" w:type="dxa"/>
          </w:tcPr>
          <w:p w14:paraId="09F0072A" w14:textId="77777777" w:rsidR="00E342A5" w:rsidRPr="00915239" w:rsidRDefault="00E342A5" w:rsidP="00E24746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Está no ambiente, família</w:t>
            </w:r>
          </w:p>
          <w:p w14:paraId="1D228B46" w14:textId="77777777" w:rsidR="00E342A5" w:rsidRPr="00915239" w:rsidRDefault="00E342A5" w:rsidP="00E24746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E342A5" w:rsidRPr="00915239" w14:paraId="42A83343" w14:textId="77777777" w:rsidTr="00915239">
        <w:trPr>
          <w:jc w:val="center"/>
        </w:trPr>
        <w:tc>
          <w:tcPr>
            <w:tcW w:w="4815" w:type="dxa"/>
          </w:tcPr>
          <w:p w14:paraId="71F020D6" w14:textId="77777777" w:rsidR="00E342A5" w:rsidRPr="00915239" w:rsidRDefault="00E342A5" w:rsidP="00E2474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É inata, vem de Deus</w:t>
            </w:r>
          </w:p>
          <w:p w14:paraId="7AD0398F" w14:textId="71F3244A" w:rsidR="00E342A5" w:rsidRPr="00915239" w:rsidRDefault="00E342A5" w:rsidP="00E24746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94" w:type="dxa"/>
          </w:tcPr>
          <w:p w14:paraId="213D2B05" w14:textId="17C43055" w:rsidR="00E342A5" w:rsidRPr="00915239" w:rsidRDefault="00E342A5" w:rsidP="00E2474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Nasce da cultura, da família, da tradição, depende de trajes, símbolos, códigos</w:t>
            </w:r>
          </w:p>
        </w:tc>
      </w:tr>
      <w:tr w:rsidR="00E342A5" w:rsidRPr="00915239" w14:paraId="6B5B3395" w14:textId="77777777" w:rsidTr="00915239">
        <w:trPr>
          <w:jc w:val="center"/>
        </w:trPr>
        <w:tc>
          <w:tcPr>
            <w:tcW w:w="4815" w:type="dxa"/>
          </w:tcPr>
          <w:p w14:paraId="68825A74" w14:textId="77777777" w:rsidR="00E342A5" w:rsidRPr="00915239" w:rsidRDefault="00E342A5" w:rsidP="00E24746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Não pode ser traída</w:t>
            </w:r>
          </w:p>
          <w:p w14:paraId="13A562C6" w14:textId="77777777" w:rsidR="00E342A5" w:rsidRPr="00915239" w:rsidRDefault="00E342A5" w:rsidP="00E24746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94" w:type="dxa"/>
          </w:tcPr>
          <w:p w14:paraId="4ACB1115" w14:textId="625D8170" w:rsidR="00E342A5" w:rsidRPr="00915239" w:rsidRDefault="00E342A5" w:rsidP="00B442C3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Pode ser ideologizada, distorcida, manipulada</w:t>
            </w:r>
          </w:p>
        </w:tc>
      </w:tr>
      <w:tr w:rsidR="00E342A5" w:rsidRPr="00915239" w14:paraId="483B646A" w14:textId="77777777" w:rsidTr="00915239">
        <w:trPr>
          <w:jc w:val="center"/>
        </w:trPr>
        <w:tc>
          <w:tcPr>
            <w:tcW w:w="4815" w:type="dxa"/>
          </w:tcPr>
          <w:p w14:paraId="29EF7D14" w14:textId="383B7F27" w:rsidR="00E342A5" w:rsidRPr="00915239" w:rsidRDefault="00E342A5" w:rsidP="00B442C3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lastRenderedPageBreak/>
              <w:t>Só existe quando é verdadeira</w:t>
            </w:r>
          </w:p>
        </w:tc>
        <w:tc>
          <w:tcPr>
            <w:tcW w:w="4394" w:type="dxa"/>
          </w:tcPr>
          <w:p w14:paraId="639E3A9C" w14:textId="5D89D05C" w:rsidR="00E342A5" w:rsidRPr="00915239" w:rsidRDefault="00E342A5" w:rsidP="00B442C3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Pode existir sem ser autêntica</w:t>
            </w:r>
          </w:p>
        </w:tc>
      </w:tr>
      <w:tr w:rsidR="00E342A5" w:rsidRPr="00915239" w14:paraId="632D02D7" w14:textId="77777777" w:rsidTr="00915239">
        <w:trPr>
          <w:jc w:val="center"/>
        </w:trPr>
        <w:tc>
          <w:tcPr>
            <w:tcW w:w="4815" w:type="dxa"/>
          </w:tcPr>
          <w:p w14:paraId="245A00A1" w14:textId="77777777" w:rsidR="005253D9" w:rsidRPr="00915239" w:rsidRDefault="005253D9" w:rsidP="00E24746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Habita o coração, perpassa a inteligência e a razão</w:t>
            </w:r>
          </w:p>
          <w:p w14:paraId="29880602" w14:textId="77777777" w:rsidR="00E342A5" w:rsidRPr="00915239" w:rsidRDefault="00E342A5" w:rsidP="00E24746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94" w:type="dxa"/>
          </w:tcPr>
          <w:p w14:paraId="625B49D9" w14:textId="0B0B476C" w:rsidR="00E342A5" w:rsidRPr="00915239" w:rsidRDefault="005253D9" w:rsidP="00B442C3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Habita num recinto material, no santuário, no templo</w:t>
            </w:r>
          </w:p>
        </w:tc>
      </w:tr>
      <w:tr w:rsidR="005253D9" w:rsidRPr="00915239" w14:paraId="3D06C0EF" w14:textId="77777777" w:rsidTr="00915239">
        <w:trPr>
          <w:jc w:val="center"/>
        </w:trPr>
        <w:tc>
          <w:tcPr>
            <w:tcW w:w="4815" w:type="dxa"/>
          </w:tcPr>
          <w:p w14:paraId="3459FFCD" w14:textId="4ABFA039" w:rsidR="005253D9" w:rsidRPr="00915239" w:rsidRDefault="005253D9" w:rsidP="00B442C3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Quando não cultivada, revela o dogmatismo da religião</w:t>
            </w:r>
          </w:p>
        </w:tc>
        <w:tc>
          <w:tcPr>
            <w:tcW w:w="4394" w:type="dxa"/>
          </w:tcPr>
          <w:p w14:paraId="7BB72B58" w14:textId="34728812" w:rsidR="005253D9" w:rsidRPr="00915239" w:rsidRDefault="005253D9" w:rsidP="00B442C3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Quando hipócrita, é camuflada, dissimulada e servir para enganar</w:t>
            </w:r>
          </w:p>
        </w:tc>
      </w:tr>
      <w:tr w:rsidR="005253D9" w:rsidRPr="00915239" w14:paraId="23713FE3" w14:textId="77777777" w:rsidTr="00915239">
        <w:trPr>
          <w:jc w:val="center"/>
        </w:trPr>
        <w:tc>
          <w:tcPr>
            <w:tcW w:w="4815" w:type="dxa"/>
          </w:tcPr>
          <w:p w14:paraId="26108AD4" w14:textId="28DADA74" w:rsidR="005253D9" w:rsidRPr="00915239" w:rsidRDefault="005253D9" w:rsidP="00B442C3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É a força da fé</w:t>
            </w:r>
          </w:p>
        </w:tc>
        <w:tc>
          <w:tcPr>
            <w:tcW w:w="4394" w:type="dxa"/>
          </w:tcPr>
          <w:p w14:paraId="63AA9DB6" w14:textId="6EFB6BA8" w:rsidR="005253D9" w:rsidRPr="00915239" w:rsidRDefault="005253D9" w:rsidP="00B442C3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É a força da lei</w:t>
            </w:r>
          </w:p>
        </w:tc>
      </w:tr>
      <w:tr w:rsidR="005253D9" w:rsidRPr="00915239" w14:paraId="1E894E6F" w14:textId="77777777" w:rsidTr="00915239">
        <w:trPr>
          <w:jc w:val="center"/>
        </w:trPr>
        <w:tc>
          <w:tcPr>
            <w:tcW w:w="4815" w:type="dxa"/>
          </w:tcPr>
          <w:p w14:paraId="4AACA91A" w14:textId="4A856B11" w:rsidR="005253D9" w:rsidRPr="00915239" w:rsidRDefault="005253D9" w:rsidP="00B442C3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Depende da presença e assistência do Espírito</w:t>
            </w:r>
          </w:p>
        </w:tc>
        <w:tc>
          <w:tcPr>
            <w:tcW w:w="4394" w:type="dxa"/>
          </w:tcPr>
          <w:p w14:paraId="5CE028C7" w14:textId="7B69508D" w:rsidR="005253D9" w:rsidRPr="00915239" w:rsidRDefault="005253D9" w:rsidP="00B442C3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Depende de estruturas e leis objetivas e humanas</w:t>
            </w:r>
          </w:p>
        </w:tc>
      </w:tr>
      <w:tr w:rsidR="005253D9" w:rsidRPr="00915239" w14:paraId="387CB3C7" w14:textId="77777777" w:rsidTr="00915239">
        <w:trPr>
          <w:jc w:val="center"/>
        </w:trPr>
        <w:tc>
          <w:tcPr>
            <w:tcW w:w="4815" w:type="dxa"/>
          </w:tcPr>
          <w:p w14:paraId="7DEA3E0E" w14:textId="64AD21C6" w:rsidR="005253D9" w:rsidRPr="00915239" w:rsidRDefault="005253D9" w:rsidP="00E24746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Tem dois altares: um interno (Mt 6,5-6) e outro, o mundo (Mt 18,19-20)</w:t>
            </w:r>
          </w:p>
        </w:tc>
        <w:tc>
          <w:tcPr>
            <w:tcW w:w="4394" w:type="dxa"/>
          </w:tcPr>
          <w:p w14:paraId="1E5B87FD" w14:textId="3E5DEBDD" w:rsidR="005253D9" w:rsidRPr="00915239" w:rsidRDefault="005253D9" w:rsidP="00E24746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Tem, via de regra, um único templo, feito de pedras</w:t>
            </w:r>
          </w:p>
        </w:tc>
      </w:tr>
      <w:tr w:rsidR="005253D9" w:rsidRPr="00915239" w14:paraId="476E4670" w14:textId="77777777" w:rsidTr="00915239">
        <w:trPr>
          <w:jc w:val="center"/>
        </w:trPr>
        <w:tc>
          <w:tcPr>
            <w:tcW w:w="4815" w:type="dxa"/>
          </w:tcPr>
          <w:p w14:paraId="37127C5B" w14:textId="342E636A" w:rsidR="005253D9" w:rsidRPr="00915239" w:rsidRDefault="005253D9" w:rsidP="00E24746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Desabrocha no amor</w:t>
            </w:r>
          </w:p>
        </w:tc>
        <w:tc>
          <w:tcPr>
            <w:tcW w:w="4394" w:type="dxa"/>
          </w:tcPr>
          <w:p w14:paraId="5B397C9C" w14:textId="72A8A316" w:rsidR="005253D9" w:rsidRPr="00915239" w:rsidRDefault="005253D9" w:rsidP="00E24746">
            <w:pPr>
              <w:ind w:firstLine="85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15239">
              <w:rPr>
                <w:sz w:val="22"/>
                <w:szCs w:val="22"/>
                <w:shd w:val="clear" w:color="auto" w:fill="FFFFFF"/>
              </w:rPr>
              <w:t>Pode exercitar a graça e o amor</w:t>
            </w:r>
          </w:p>
        </w:tc>
      </w:tr>
    </w:tbl>
    <w:p w14:paraId="447C9280" w14:textId="77777777" w:rsidR="00B57BC2" w:rsidRDefault="00B57BC2" w:rsidP="00DD1BEE">
      <w:pPr>
        <w:spacing w:after="120" w:line="360" w:lineRule="auto"/>
        <w:ind w:firstLine="851"/>
        <w:jc w:val="both"/>
        <w:rPr>
          <w:shd w:val="clear" w:color="auto" w:fill="FFFFFF"/>
        </w:rPr>
      </w:pPr>
    </w:p>
    <w:p w14:paraId="60A83ABE" w14:textId="3BC2E666" w:rsidR="00B57BC2" w:rsidRPr="00B57BC2" w:rsidRDefault="00385B6A" w:rsidP="00DD1BEE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385B6A">
        <w:rPr>
          <w:shd w:val="clear" w:color="auto" w:fill="FFFFFF"/>
        </w:rPr>
        <w:t>O paralelo evidencia o longo itinerário da evangelização, que não se reduz à transmissão de doutrinas ou práticas religiosas, mas exige uma verdadeira mistagogia — isto é, um processo de passagem, iniciação e testemunho que introduza as pessoas no mistério de Cristo e faça amadurecer nelas a fé. Evangelizar, neste sentido, é ajudar a fermentar a fé na vida cotidiana, até que ela se torne expressão concreta de justiça, comunhão e misericórdia.</w:t>
      </w:r>
      <w:r>
        <w:rPr>
          <w:shd w:val="clear" w:color="auto" w:fill="FFFFFF"/>
        </w:rPr>
        <w:t xml:space="preserve"> </w:t>
      </w:r>
      <w:r w:rsidR="00B57BC2" w:rsidRPr="00B57BC2">
        <w:rPr>
          <w:shd w:val="clear" w:color="auto" w:fill="FFFFFF"/>
        </w:rPr>
        <w:t>Ao falarmos de mistagogia, referimo-nos a essa passagem necessária: da religião à fé viva, do rito ao testemunho, da palavra à experiência.</w:t>
      </w:r>
    </w:p>
    <w:p w14:paraId="3DEF5674" w14:textId="7C703BC9" w:rsidR="00A462E8" w:rsidRPr="00DD1BEE" w:rsidRDefault="00184DBC" w:rsidP="00DD1BEE">
      <w:pPr>
        <w:spacing w:after="120" w:line="360" w:lineRule="auto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Isso se faz urgente, porque n</w:t>
      </w:r>
      <w:r w:rsidR="00A462E8" w:rsidRPr="00A462E8">
        <w:rPr>
          <w:shd w:val="clear" w:color="auto" w:fill="FFFFFF"/>
        </w:rPr>
        <w:t xml:space="preserve">ão é raro, ao se discutir religião, começar-se a classificar quem vai para o paraíso e quem vai para o inferno. Corre-se, assim, o risco de esquecer </w:t>
      </w:r>
      <w:r w:rsidR="00A462E8" w:rsidRPr="00DD1BEE">
        <w:rPr>
          <w:shd w:val="clear" w:color="auto" w:fill="FFFFFF"/>
        </w:rPr>
        <w:t>-</w:t>
      </w:r>
      <w:r w:rsidR="00A462E8" w:rsidRPr="00A462E8">
        <w:rPr>
          <w:shd w:val="clear" w:color="auto" w:fill="FFFFFF"/>
        </w:rPr>
        <w:t xml:space="preserve"> ou de não encontrar </w:t>
      </w:r>
      <w:r w:rsidR="00A462E8" w:rsidRPr="00DD1BEE">
        <w:rPr>
          <w:shd w:val="clear" w:color="auto" w:fill="FFFFFF"/>
        </w:rPr>
        <w:t>-</w:t>
      </w:r>
      <w:r w:rsidR="00A462E8" w:rsidRPr="00A462E8">
        <w:rPr>
          <w:shd w:val="clear" w:color="auto" w:fill="FFFFFF"/>
        </w:rPr>
        <w:t xml:space="preserve"> o caminho da justiça e da misericórdia, a única via que conduz ao Pai, como testemunhou Jesus.</w:t>
      </w:r>
      <w:r w:rsidR="00A462E8" w:rsidRPr="00DD1BEE">
        <w:rPr>
          <w:shd w:val="clear" w:color="auto" w:fill="FFFFFF"/>
        </w:rPr>
        <w:t xml:space="preserve"> </w:t>
      </w:r>
      <w:r w:rsidR="00A462E8" w:rsidRPr="00A462E8">
        <w:rPr>
          <w:shd w:val="clear" w:color="auto" w:fill="FFFFFF"/>
        </w:rPr>
        <w:t>Com frequência, também, a ausência de verdadeira espiritualidade transforma as religiões em ideologias de dominação e opressão. Elas podem “fazer a cabeça” das pessoas e até estimular guerras entre os povos.</w:t>
      </w:r>
      <w:r w:rsidR="00A462E8" w:rsidRPr="00DD1BEE">
        <w:rPr>
          <w:shd w:val="clear" w:color="auto" w:fill="FFFFFF"/>
        </w:rPr>
        <w:t xml:space="preserve"> </w:t>
      </w:r>
      <w:r w:rsidR="00A462E8" w:rsidRPr="00A462E8">
        <w:rPr>
          <w:shd w:val="clear" w:color="auto" w:fill="FFFFFF"/>
        </w:rPr>
        <w:t>Quando se fala de religião, tende-se a separar líderes e seguidores, criando divisões e hierarquias. Essa separação, porém, pertence ao nível da religião, e não ao da espiritualidade.</w:t>
      </w:r>
    </w:p>
    <w:p w14:paraId="2E0787E0" w14:textId="62ABAA9F" w:rsidR="00A462E8" w:rsidRPr="00DD1BEE" w:rsidRDefault="00A462E8" w:rsidP="00DD1BEE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A462E8">
        <w:rPr>
          <w:shd w:val="clear" w:color="auto" w:fill="FFFFFF"/>
        </w:rPr>
        <w:t>Na pedagogia de Jesus, a fé — como ato de crer — não se apoia em dogmas, jejuns ou oferendas, mas no compromisso com a verdade, a vida e a justiça (Jo 1,9-14).</w:t>
      </w:r>
      <w:r w:rsidRPr="00DD1BEE">
        <w:rPr>
          <w:shd w:val="clear" w:color="auto" w:fill="FFFFFF"/>
        </w:rPr>
        <w:t xml:space="preserve"> </w:t>
      </w:r>
      <w:r w:rsidRPr="00A462E8">
        <w:rPr>
          <w:shd w:val="clear" w:color="auto" w:fill="FFFFFF"/>
        </w:rPr>
        <w:t>No diálogo com Nicodemos, um dos magistrados de Jerusalém, Jesus afirmou que era preciso nascer de novo, do alto, para ver o Reino de Deus (Jo 3,3).</w:t>
      </w:r>
      <w:r w:rsidRPr="00DD1BEE">
        <w:rPr>
          <w:shd w:val="clear" w:color="auto" w:fill="FFFFFF"/>
        </w:rPr>
        <w:t xml:space="preserve"> </w:t>
      </w:r>
      <w:r w:rsidRPr="00A462E8">
        <w:rPr>
          <w:shd w:val="clear" w:color="auto" w:fill="FFFFFF"/>
        </w:rPr>
        <w:t>Crer é um ato de fé, fruto da espiritualidade, não simplesmente da religião. A fé pode se expressar na religião, mas, para ser autêntica, deve estar enraizada em uma espiritualidade profunda, que transcende os ritos e se concretiza na vida.</w:t>
      </w:r>
    </w:p>
    <w:p w14:paraId="4A1A5125" w14:textId="7DD93461" w:rsidR="00A462E8" w:rsidRPr="00A462E8" w:rsidRDefault="00A462E8" w:rsidP="00DD1BEE">
      <w:pPr>
        <w:spacing w:after="120" w:line="360" w:lineRule="auto"/>
        <w:ind w:firstLine="851"/>
        <w:jc w:val="both"/>
        <w:rPr>
          <w:b/>
          <w:bCs/>
          <w:shd w:val="clear" w:color="auto" w:fill="FFFFFF"/>
        </w:rPr>
      </w:pPr>
      <w:r w:rsidRPr="00A462E8">
        <w:rPr>
          <w:b/>
          <w:bCs/>
          <w:shd w:val="clear" w:color="auto" w:fill="FFFFFF"/>
        </w:rPr>
        <w:t>O jeito de rezar: justiça ou hipocrisia</w:t>
      </w:r>
      <w:r w:rsidR="000C3665">
        <w:rPr>
          <w:b/>
          <w:bCs/>
          <w:shd w:val="clear" w:color="auto" w:fill="FFFFFF"/>
        </w:rPr>
        <w:t>?</w:t>
      </w:r>
    </w:p>
    <w:p w14:paraId="6EA7CE15" w14:textId="3A5947B1" w:rsidR="00A462E8" w:rsidRPr="00A462E8" w:rsidRDefault="00A462E8" w:rsidP="00DD1BEE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A462E8">
        <w:rPr>
          <w:shd w:val="clear" w:color="auto" w:fill="FFFFFF"/>
        </w:rPr>
        <w:t>Para esclarecer o sentido e a qualidade da oração, Jesus contou uma parábola envolvendo dois personagens: o fariseu e o cobrador de impostos (Lc 18,9-14).</w:t>
      </w:r>
      <w:r w:rsidRPr="00DD1BEE">
        <w:rPr>
          <w:shd w:val="clear" w:color="auto" w:fill="FFFFFF"/>
        </w:rPr>
        <w:t xml:space="preserve"> </w:t>
      </w:r>
      <w:r w:rsidRPr="00A462E8">
        <w:rPr>
          <w:shd w:val="clear" w:color="auto" w:fill="FFFFFF"/>
        </w:rPr>
        <w:t>Ambos foram rezar:</w:t>
      </w:r>
    </w:p>
    <w:p w14:paraId="20783644" w14:textId="77777777" w:rsidR="00A462E8" w:rsidRPr="00DD1BEE" w:rsidRDefault="00A462E8" w:rsidP="00DD1BEE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A462E8">
        <w:rPr>
          <w:shd w:val="clear" w:color="auto" w:fill="FFFFFF"/>
        </w:rPr>
        <w:lastRenderedPageBreak/>
        <w:t>“O fariseu, de pé, rezava assim em seu íntimo:</w:t>
      </w:r>
      <w:r w:rsidRPr="00DD1BEE">
        <w:rPr>
          <w:shd w:val="clear" w:color="auto" w:fill="FFFFFF"/>
        </w:rPr>
        <w:t xml:space="preserve"> </w:t>
      </w:r>
      <w:r w:rsidRPr="00A462E8">
        <w:rPr>
          <w:shd w:val="clear" w:color="auto" w:fill="FFFFFF"/>
        </w:rPr>
        <w:t>‘Ó Deus, eu te agradeço porque não sou como os outros homens, ladrões, desonestos, adúlteros, nem como este cobrador de impostos. Jejuo duas vezes por semana e dou o dízimo de toda a minha renda’” (vv. 11-12).</w:t>
      </w:r>
    </w:p>
    <w:p w14:paraId="6B851840" w14:textId="77777777" w:rsidR="00A462E8" w:rsidRPr="00DD1BEE" w:rsidRDefault="00A462E8" w:rsidP="00DD1BEE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A462E8">
        <w:rPr>
          <w:shd w:val="clear" w:color="auto" w:fill="FFFFFF"/>
        </w:rPr>
        <w:t>“O cobrador de impostos, porém, ficou à distância e nem se atrevia a levantar os olhos para o céu; mas batia no peito, dizendo:</w:t>
      </w:r>
      <w:r w:rsidRPr="00DD1BEE">
        <w:rPr>
          <w:shd w:val="clear" w:color="auto" w:fill="FFFFFF"/>
        </w:rPr>
        <w:t xml:space="preserve"> </w:t>
      </w:r>
      <w:r w:rsidRPr="00A462E8">
        <w:rPr>
          <w:shd w:val="clear" w:color="auto" w:fill="FFFFFF"/>
        </w:rPr>
        <w:t>‘Meu Deus, tem piedade de mim, que sou pecador!’” (v. 13).</w:t>
      </w:r>
    </w:p>
    <w:p w14:paraId="134FAA9A" w14:textId="17472702" w:rsidR="00A462E8" w:rsidRPr="00A462E8" w:rsidRDefault="00A462E8" w:rsidP="00DD1BEE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A462E8">
        <w:rPr>
          <w:shd w:val="clear" w:color="auto" w:fill="FFFFFF"/>
        </w:rPr>
        <w:t>Na sequência, o veredito é claro: o fariseu saiu condenado, e o cobrador de impostos, justificado.</w:t>
      </w:r>
      <w:r w:rsidRPr="00DD1BEE">
        <w:rPr>
          <w:shd w:val="clear" w:color="auto" w:fill="FFFFFF"/>
        </w:rPr>
        <w:t xml:space="preserve"> </w:t>
      </w:r>
      <w:r w:rsidRPr="00A462E8">
        <w:rPr>
          <w:shd w:val="clear" w:color="auto" w:fill="FFFFFF"/>
        </w:rPr>
        <w:t>E, para que não restassem dúvidas, Jesus acrescentou o critério decisivo:</w:t>
      </w:r>
      <w:r w:rsidRPr="00DD1BEE">
        <w:rPr>
          <w:shd w:val="clear" w:color="auto" w:fill="FFFFFF"/>
        </w:rPr>
        <w:t xml:space="preserve"> </w:t>
      </w:r>
      <w:r w:rsidRPr="00A462E8">
        <w:rPr>
          <w:shd w:val="clear" w:color="auto" w:fill="FFFFFF"/>
        </w:rPr>
        <w:t>“Pois quem se eleva será humilhado, e quem se humilha será elevado” (v. 14).</w:t>
      </w:r>
    </w:p>
    <w:p w14:paraId="3E0A7571" w14:textId="77777777" w:rsidR="00DD1BEE" w:rsidRPr="00DD1BEE" w:rsidRDefault="00A462E8" w:rsidP="00DD1BEE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A462E8">
        <w:rPr>
          <w:shd w:val="clear" w:color="auto" w:fill="FFFFFF"/>
        </w:rPr>
        <w:t>A parábola mostra que a oração autêntica nasce da humildade e da verdade interior, e não da ostentação religiosa.</w:t>
      </w:r>
      <w:r w:rsidR="00DD1BEE" w:rsidRPr="00DD1BEE">
        <w:rPr>
          <w:shd w:val="clear" w:color="auto" w:fill="FFFFFF"/>
        </w:rPr>
        <w:t xml:space="preserve"> </w:t>
      </w:r>
      <w:r w:rsidRPr="00A462E8">
        <w:rPr>
          <w:shd w:val="clear" w:color="auto" w:fill="FFFFFF"/>
        </w:rPr>
        <w:t>A espiritualidade evangélica conduz à justiça e à misericórdia, enquanto a religião sem fé viva pode gerar orgulho, exclusão e violência.</w:t>
      </w:r>
      <w:r w:rsidR="00DD1BEE" w:rsidRPr="00DD1BEE">
        <w:rPr>
          <w:shd w:val="clear" w:color="auto" w:fill="FFFFFF"/>
        </w:rPr>
        <w:t xml:space="preserve"> </w:t>
      </w:r>
      <w:r w:rsidRPr="00A462E8">
        <w:rPr>
          <w:shd w:val="clear" w:color="auto" w:fill="FFFFFF"/>
        </w:rPr>
        <w:t>Seguir Jesus é rezar com o coração dos pobres, reconhecer-se necessitado e abrir-se ao amor do Pai que acolhe e eleva quem se humilha.</w:t>
      </w:r>
      <w:r w:rsidR="00DD1BEE" w:rsidRPr="00DD1BEE">
        <w:rPr>
          <w:shd w:val="clear" w:color="auto" w:fill="FFFFFF"/>
        </w:rPr>
        <w:t xml:space="preserve"> </w:t>
      </w:r>
      <w:r w:rsidRPr="00A462E8">
        <w:rPr>
          <w:shd w:val="clear" w:color="auto" w:fill="FFFFFF"/>
        </w:rPr>
        <w:t>A fé, assim, não é um instrumento de distinção entre “bons e maus”, mas o caminho humilde da comunhão e da misericórdia.</w:t>
      </w:r>
    </w:p>
    <w:p w14:paraId="24AA2169" w14:textId="7E36BEF3" w:rsidR="007C6F16" w:rsidRPr="007C6F16" w:rsidRDefault="00DD1BEE" w:rsidP="007C6F16">
      <w:pPr>
        <w:spacing w:after="120" w:line="360" w:lineRule="auto"/>
        <w:ind w:firstLine="851"/>
        <w:jc w:val="both"/>
        <w:rPr>
          <w:b/>
          <w:bCs/>
          <w:shd w:val="clear" w:color="auto" w:fill="FFFFFF"/>
        </w:rPr>
      </w:pPr>
      <w:r w:rsidRPr="00DD1BEE">
        <w:rPr>
          <w:b/>
          <w:bCs/>
          <w:shd w:val="clear" w:color="auto" w:fill="FFFFFF"/>
        </w:rPr>
        <w:t>C</w:t>
      </w:r>
      <w:r w:rsidRPr="00A462E8">
        <w:rPr>
          <w:b/>
          <w:bCs/>
          <w:shd w:val="clear" w:color="auto" w:fill="FFFFFF"/>
        </w:rPr>
        <w:t>onclusão</w:t>
      </w:r>
      <w:r w:rsidR="007C6F16">
        <w:rPr>
          <w:b/>
          <w:bCs/>
          <w:shd w:val="clear" w:color="auto" w:fill="FFFFFF"/>
        </w:rPr>
        <w:t xml:space="preserve">: </w:t>
      </w:r>
      <w:r w:rsidR="007C6F16" w:rsidRPr="007C6F16">
        <w:rPr>
          <w:b/>
          <w:bCs/>
          <w:shd w:val="clear" w:color="auto" w:fill="FFFFFF"/>
        </w:rPr>
        <w:t>Em forma de provocação mistagógica</w:t>
      </w:r>
    </w:p>
    <w:p w14:paraId="5AC7CD7A" w14:textId="77777777" w:rsidR="007C6F16" w:rsidRPr="000C3665" w:rsidRDefault="007C6F16" w:rsidP="007C6F16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7C6F16">
        <w:rPr>
          <w:shd w:val="clear" w:color="auto" w:fill="FFFFFF"/>
        </w:rPr>
        <w:t>Talvez o maior desafio do nosso tempo não seja o de ter mais religião, mas o de voltar à fé de Jesus.</w:t>
      </w:r>
      <w:r w:rsidRPr="000C3665">
        <w:rPr>
          <w:shd w:val="clear" w:color="auto" w:fill="FFFFFF"/>
        </w:rPr>
        <w:t xml:space="preserve"> </w:t>
      </w:r>
      <w:r w:rsidRPr="007C6F16">
        <w:rPr>
          <w:shd w:val="clear" w:color="auto" w:fill="FFFFFF"/>
        </w:rPr>
        <w:t>A religião pode nos reunir em templos, mas a fé nos coloca a caminho com os pobres; a religião pode ensinar fórmulas de oração, mas a fé nos faz rezar com a vida; a religião busca garantias, enquanto a fé arrisca-se na confiança; a religião fala de Deus, mas a fé se deixa falar por Ele.</w:t>
      </w:r>
    </w:p>
    <w:p w14:paraId="34B509F4" w14:textId="0497FD9E" w:rsidR="007C6F16" w:rsidRPr="007C6F16" w:rsidRDefault="007C6F16" w:rsidP="007C6F16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7C6F16">
        <w:rPr>
          <w:shd w:val="clear" w:color="auto" w:fill="FFFFFF"/>
        </w:rPr>
        <w:t>Se a oração que rezamos não nos move à misericórdia, não será oração, mas repetição.</w:t>
      </w:r>
      <w:r w:rsidRPr="000C3665">
        <w:rPr>
          <w:shd w:val="clear" w:color="auto" w:fill="FFFFFF"/>
        </w:rPr>
        <w:t xml:space="preserve"> </w:t>
      </w:r>
      <w:r w:rsidRPr="007C6F16">
        <w:rPr>
          <w:shd w:val="clear" w:color="auto" w:fill="FFFFFF"/>
        </w:rPr>
        <w:t>Se a fé que professamos não gera justiça, não será fé, mas ideologia.</w:t>
      </w:r>
      <w:r w:rsidRPr="000C3665">
        <w:rPr>
          <w:shd w:val="clear" w:color="auto" w:fill="FFFFFF"/>
        </w:rPr>
        <w:t xml:space="preserve"> </w:t>
      </w:r>
      <w:r w:rsidRPr="007C6F16">
        <w:rPr>
          <w:shd w:val="clear" w:color="auto" w:fill="FFFFFF"/>
        </w:rPr>
        <w:t>E se a religião que praticamos não nos faz mais humanos, não será religião, mas idolatria.</w:t>
      </w:r>
    </w:p>
    <w:p w14:paraId="4FFB1C96" w14:textId="22D20B2F" w:rsidR="00AF7A80" w:rsidRPr="00AF7A80" w:rsidRDefault="007C6F16" w:rsidP="007C6F16">
      <w:pPr>
        <w:spacing w:after="120" w:line="360" w:lineRule="auto"/>
        <w:ind w:firstLine="851"/>
        <w:jc w:val="both"/>
        <w:rPr>
          <w:shd w:val="clear" w:color="auto" w:fill="FFFFFF"/>
        </w:rPr>
      </w:pPr>
      <w:r w:rsidRPr="007C6F16">
        <w:rPr>
          <w:shd w:val="clear" w:color="auto" w:fill="FFFFFF"/>
        </w:rPr>
        <w:t>A mistagogia cristã convida a atravessar o limiar: do rito à vida, da lei ao amor, do templo ao coração, da religião à fé de Jesus.</w:t>
      </w:r>
      <w:r w:rsidRPr="000C3665">
        <w:rPr>
          <w:shd w:val="clear" w:color="auto" w:fill="FFFFFF"/>
        </w:rPr>
        <w:t xml:space="preserve"> </w:t>
      </w:r>
      <w:r w:rsidRPr="007C6F16">
        <w:rPr>
          <w:shd w:val="clear" w:color="auto" w:fill="FFFFFF"/>
        </w:rPr>
        <w:t>A verdadeira adoração não se mede por palavras, mas por gestos de justiça e compaixão.</w:t>
      </w:r>
      <w:r w:rsidRPr="000C3665">
        <w:rPr>
          <w:shd w:val="clear" w:color="auto" w:fill="FFFFFF"/>
        </w:rPr>
        <w:t xml:space="preserve"> </w:t>
      </w:r>
      <w:r w:rsidR="00AF7A80">
        <w:rPr>
          <w:shd w:val="clear" w:color="auto" w:fill="FFFFFF"/>
        </w:rPr>
        <w:t>D</w:t>
      </w:r>
      <w:r w:rsidR="00AF7A80" w:rsidRPr="00AF7A80">
        <w:rPr>
          <w:shd w:val="clear" w:color="auto" w:fill="FFFFFF"/>
        </w:rPr>
        <w:t>iante disso, a pergunta permanece aberta — e provocante: estamos rezando ao Deus de Jesus - o Deus do Pai</w:t>
      </w:r>
      <w:r w:rsidR="00A51472">
        <w:rPr>
          <w:shd w:val="clear" w:color="auto" w:fill="FFFFFF"/>
        </w:rPr>
        <w:t>-P</w:t>
      </w:r>
      <w:r w:rsidR="00AF7A80" w:rsidRPr="00AF7A80">
        <w:rPr>
          <w:shd w:val="clear" w:color="auto" w:fill="FFFFFF"/>
        </w:rPr>
        <w:t>ão</w:t>
      </w:r>
      <w:r w:rsidR="00A51472">
        <w:rPr>
          <w:shd w:val="clear" w:color="auto" w:fill="FFFFFF"/>
        </w:rPr>
        <w:t>-P</w:t>
      </w:r>
      <w:r w:rsidR="00AF7A80" w:rsidRPr="00AF7A80">
        <w:rPr>
          <w:shd w:val="clear" w:color="auto" w:fill="FFFFFF"/>
        </w:rPr>
        <w:t>erdão - ou apenas ritualizando, de modo religioso, doutrinas e crenças que satisfazem nossos egos e interesses?</w:t>
      </w:r>
    </w:p>
    <w:p w14:paraId="4E119413" w14:textId="77777777" w:rsidR="007C6F16" w:rsidRPr="000C3665" w:rsidRDefault="007C6F16" w:rsidP="007C6F16">
      <w:pPr>
        <w:spacing w:after="120" w:line="360" w:lineRule="auto"/>
        <w:ind w:firstLine="851"/>
        <w:jc w:val="both"/>
        <w:rPr>
          <w:shd w:val="clear" w:color="auto" w:fill="FFFFFF"/>
        </w:rPr>
      </w:pPr>
    </w:p>
    <w:sectPr w:rsidR="007C6F16" w:rsidRPr="000C3665" w:rsidSect="00C8426A">
      <w:pgSz w:w="11906" w:h="16838"/>
      <w:pgMar w:top="1276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81F8" w14:textId="77777777" w:rsidR="00AE72FB" w:rsidRDefault="00AE72FB" w:rsidP="00E342A5">
      <w:pPr>
        <w:spacing w:after="0" w:line="240" w:lineRule="auto"/>
      </w:pPr>
      <w:r>
        <w:separator/>
      </w:r>
    </w:p>
  </w:endnote>
  <w:endnote w:type="continuationSeparator" w:id="0">
    <w:p w14:paraId="087C3320" w14:textId="77777777" w:rsidR="00AE72FB" w:rsidRDefault="00AE72FB" w:rsidP="00E3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E86B" w14:textId="77777777" w:rsidR="00AE72FB" w:rsidRDefault="00AE72FB" w:rsidP="00E342A5">
      <w:pPr>
        <w:spacing w:after="0" w:line="240" w:lineRule="auto"/>
      </w:pPr>
      <w:r>
        <w:separator/>
      </w:r>
    </w:p>
  </w:footnote>
  <w:footnote w:type="continuationSeparator" w:id="0">
    <w:p w14:paraId="4A6CD945" w14:textId="77777777" w:rsidR="00AE72FB" w:rsidRDefault="00AE72FB" w:rsidP="00E342A5">
      <w:pPr>
        <w:spacing w:after="0" w:line="240" w:lineRule="auto"/>
      </w:pPr>
      <w:r>
        <w:continuationSeparator/>
      </w:r>
    </w:p>
  </w:footnote>
  <w:footnote w:id="1">
    <w:p w14:paraId="5A14D6EB" w14:textId="5E3C7B51" w:rsidR="00E342A5" w:rsidRDefault="00E342A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342A5">
        <w:t>MAZZAROLO, I</w:t>
      </w:r>
      <w:r w:rsidR="005253D9">
        <w:t>sidoro</w:t>
      </w:r>
      <w:r w:rsidR="002F1156" w:rsidRPr="002F1156">
        <w:t xml:space="preserve">. Jesus e a física quântica. Rio de Janeiro: Mazzarolo Editor, 2013, p. </w:t>
      </w:r>
      <w:r w:rsidRPr="00E342A5">
        <w:t>37.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625"/>
    <w:multiLevelType w:val="multilevel"/>
    <w:tmpl w:val="9B24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C17A6"/>
    <w:multiLevelType w:val="multilevel"/>
    <w:tmpl w:val="F672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671766">
    <w:abstractNumId w:val="1"/>
  </w:num>
  <w:num w:numId="2" w16cid:durableId="83534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47"/>
    <w:rsid w:val="000603EA"/>
    <w:rsid w:val="0006390A"/>
    <w:rsid w:val="000968BF"/>
    <w:rsid w:val="000C3665"/>
    <w:rsid w:val="001104BC"/>
    <w:rsid w:val="00184DBC"/>
    <w:rsid w:val="001C5594"/>
    <w:rsid w:val="00223C51"/>
    <w:rsid w:val="0023032E"/>
    <w:rsid w:val="002375B1"/>
    <w:rsid w:val="00254102"/>
    <w:rsid w:val="00265FA0"/>
    <w:rsid w:val="00277915"/>
    <w:rsid w:val="002D5D08"/>
    <w:rsid w:val="002F1156"/>
    <w:rsid w:val="002F3C8C"/>
    <w:rsid w:val="00305AD3"/>
    <w:rsid w:val="00335F00"/>
    <w:rsid w:val="0033779B"/>
    <w:rsid w:val="00345798"/>
    <w:rsid w:val="00385B6A"/>
    <w:rsid w:val="003E7C01"/>
    <w:rsid w:val="004376F3"/>
    <w:rsid w:val="004711EA"/>
    <w:rsid w:val="004B310E"/>
    <w:rsid w:val="004B4B32"/>
    <w:rsid w:val="004C283A"/>
    <w:rsid w:val="004C4429"/>
    <w:rsid w:val="005253D9"/>
    <w:rsid w:val="00526D80"/>
    <w:rsid w:val="0055751E"/>
    <w:rsid w:val="005D24E7"/>
    <w:rsid w:val="0060735D"/>
    <w:rsid w:val="0066043E"/>
    <w:rsid w:val="0070642B"/>
    <w:rsid w:val="007972D7"/>
    <w:rsid w:val="007C6F16"/>
    <w:rsid w:val="007F4C1F"/>
    <w:rsid w:val="008328AB"/>
    <w:rsid w:val="00873FAD"/>
    <w:rsid w:val="00892D40"/>
    <w:rsid w:val="008D7204"/>
    <w:rsid w:val="008F3D9A"/>
    <w:rsid w:val="009072C5"/>
    <w:rsid w:val="00915239"/>
    <w:rsid w:val="00981199"/>
    <w:rsid w:val="009F50BF"/>
    <w:rsid w:val="00A462E8"/>
    <w:rsid w:val="00A51472"/>
    <w:rsid w:val="00AC5CA6"/>
    <w:rsid w:val="00AE72FB"/>
    <w:rsid w:val="00AF7A80"/>
    <w:rsid w:val="00B442C3"/>
    <w:rsid w:val="00B57BC2"/>
    <w:rsid w:val="00B77454"/>
    <w:rsid w:val="00BC2725"/>
    <w:rsid w:val="00BC3EEC"/>
    <w:rsid w:val="00BD1239"/>
    <w:rsid w:val="00C56F47"/>
    <w:rsid w:val="00C61FD5"/>
    <w:rsid w:val="00C8426A"/>
    <w:rsid w:val="00CE7973"/>
    <w:rsid w:val="00D538DE"/>
    <w:rsid w:val="00DD1BEE"/>
    <w:rsid w:val="00E06D46"/>
    <w:rsid w:val="00E24746"/>
    <w:rsid w:val="00E342A5"/>
    <w:rsid w:val="00E437E4"/>
    <w:rsid w:val="00E6209E"/>
    <w:rsid w:val="00E81359"/>
    <w:rsid w:val="00F50B31"/>
    <w:rsid w:val="00F56D6B"/>
    <w:rsid w:val="00FC2BBC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35D1"/>
  <w15:chartTrackingRefBased/>
  <w15:docId w15:val="{48D515C6-DC2E-46F4-981A-F331FB7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342A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42A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342A5"/>
    <w:rPr>
      <w:vertAlign w:val="superscript"/>
    </w:rPr>
  </w:style>
  <w:style w:type="table" w:styleId="Tablaconcuadrcula">
    <w:name w:val="Table Grid"/>
    <w:basedOn w:val="Tablanormal"/>
    <w:uiPriority w:val="39"/>
    <w:rsid w:val="00E3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5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2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0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6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04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2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93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2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82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452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5C1B8-7784-466E-B039-471B22EC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1585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Rosario Hermano</cp:lastModifiedBy>
  <cp:revision>2</cp:revision>
  <dcterms:created xsi:type="dcterms:W3CDTF">2025-10-27T12:21:00Z</dcterms:created>
  <dcterms:modified xsi:type="dcterms:W3CDTF">2025-10-27T12:21:00Z</dcterms:modified>
</cp:coreProperties>
</file>