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B4FC9" w14:textId="04428790" w:rsid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07575B2F" wp14:editId="2AA44F46">
            <wp:extent cx="5400040" cy="1370965"/>
            <wp:effectExtent l="0" t="0" r="0" b="635"/>
            <wp:docPr id="68602690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026902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FA433" w14:textId="77777777" w:rsid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427433F" w14:textId="3C80AE68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“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Francisco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y 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León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vivieron entre los pobres, conocen su sufrimiento y su potencial evangelizador y teológico. Saben que no pueden ser meros objetos de caridad pastoral, sino agentes creativos dentro de la Iglesia misma”, escribe </w:t>
      </w:r>
      <w:hyperlink r:id="rId5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el fraile </w:t>
        </w:r>
        <w:proofErr w:type="spellStart"/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Luiz</w:t>
        </w:r>
        <w:proofErr w:type="spellEnd"/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 Carlos </w:t>
        </w:r>
        <w:proofErr w:type="spellStart"/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Susin</w:t>
        </w:r>
        <w:proofErr w:type="spellEnd"/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</w:t>
      </w:r>
      <w:proofErr w:type="spellStart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OFMCap</w:t>
      </w:r>
      <w:proofErr w:type="spellEnd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, doctor en teología y profesor de la Pontificia Universidad Católica de Rio Grande do Sul (PUCRS).</w:t>
      </w:r>
    </w:p>
    <w:p w14:paraId="314BA71F" w14:textId="77777777" w:rsidR="00D4493E" w:rsidRPr="00D4493E" w:rsidRDefault="00D4493E" w:rsidP="00D4493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D4493E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3E5724EE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«A los pobres les gusta el lujo. Quienes disfrutan de la miseria son los intelectuales», declaró el diseñador de carnaval </w:t>
      </w:r>
      <w:proofErr w:type="spellStart"/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Joãozinho</w:t>
      </w:r>
      <w:proofErr w:type="spellEnd"/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Trinta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1980. La afirmación generó numerosos comentarios. «Pobre», al igual que la palabra «pobreza», es un término polisémico, con significados incluso opuestos, pero su origen radica en una experiencia negativa: la «no existencia». El Papa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Francisco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quien ha demostrado una gran sensibilidad hacia los pobres, en el prólogo del libro del </w:t>
      </w:r>
      <w:hyperlink r:id="rId6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Cardenal Gerhard Müller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*Pobres por los pobres: La misión de la Iglesia*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(Paulinas, 2014), detalla lo más importante en esta polisemia de significados: «Hay muchos tipos de pobreza, pero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pobreza económica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la que se contempla con mayor horror».</w:t>
      </w:r>
    </w:p>
    <w:p w14:paraId="3030A20B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pobreza, vista con horror y repugnancia, no necesita explicación. </w:t>
      </w:r>
      <w:hyperlink r:id="rId7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La desigualdad social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cada vez más difícil de ignorar y que humilla a los pobres, sí la requiere, con la salvedad de que las explicaciones no deben usarse como justificaciones. Para los pobres, la mayor humillación es la explicación que justifica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desigualdad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Pero también puede ser humillante incluso cuando la explicación pretende ser una justificación.</w:t>
      </w:r>
    </w:p>
    <w:p w14:paraId="54C542D5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lugar de mitigar la desigualdad, expone indebidamente a los pobres a ella, lo que puede aumentar su humillación. Esta fue una experiencia que tuve que aprender por las malas de los pobres durante el " </w:t>
      </w:r>
      <w:hyperlink r:id="rId8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Grito de los Excluidos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en sus inicios, el ya lejano 7 de septiembre de 1995.</w:t>
      </w:r>
    </w:p>
    <w:p w14:paraId="2EA1C01E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Grito de los Excluidos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fue una iniciativa surgida de la </w:t>
      </w:r>
      <w:hyperlink r:id="rId9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Campaña de la Fraternidad de ese año, 1995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titulada «Fraternidad y Excluidos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». En aquel entonces, la </w:t>
      </w:r>
      <w:hyperlink r:id="rId10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Pastoral da </w:t>
        </w:r>
        <w:proofErr w:type="spellStart"/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Criança</w:t>
        </w:r>
        <w:proofErr w:type="spellEnd"/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(Pastoral de Niños ), en la que yo participaba, se estaba expandiendo a los barrios periféricos de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Porto Alegre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 sus líderes, casi todas mujeres de esos barrios, estaban emergiendo con fuerza y ​​autoridad. Acordamos estar juntas en la manifestación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del Grito de los Excluidos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. A la hora y lugar convenidos para encontrarnos al inicio de la marcha, me quedé sola y desolada con la pancarta enrollada en las manos: ¡no apareció nadie! La semana siguiente, en una reunión muy animada, como siempre, llegó la 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«explicación» de una de las líderes de la </w:t>
      </w:r>
      <w:hyperlink r:id="rId11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Pastoral da </w:t>
        </w:r>
        <w:proofErr w:type="spellStart"/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Criança</w:t>
        </w:r>
        <w:proofErr w:type="spellEnd"/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: «Les diré la verdad: la vida de los pobres ya es mala; peor aún es tener que mostrarse, además de excluidos, como seres indefensos». Jamás olvidé la palabra «desprotegido» —sin techo, sin apoyo—, pero sobre todo la violencia inherente a exponer esa falta de refugio y apoyo: la necesidad de exhibirse. Dicho sin rodeos: a los ricos, especialmente a los «nuevos ricos», les gusta exhibirse, regodearse en la desigualdad. La humillación de los pobres aumenta ante los ojos de quienes se benefician de la desigualdad.</w:t>
      </w:r>
    </w:p>
    <w:p w14:paraId="0E541778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Por una especie de modestia instintiva, jamás me he dirigido a los pobres usando la palabra «pobre», que considero «horrible». Solo ellos tienen derecho a usarla, a veces con una ironía sutil para resistir el dolor, como cuando estallan las fiestas y los lujos del Carnaval. Escribí a algunas de las instituciones que organizan el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Grito de los Excluidos,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sugiriéndoles que consideraran una propuesta semánticamente más positiva y proactiva: </w:t>
      </w:r>
      <w:r w:rsidRPr="00D4493E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>un Grito por la Justicia y la Dignidad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algo así. Por supuesto, mi propuesta fue rechazada; las instituciones no suelen tener sentimientos, normalmente están llenas de razones.</w:t>
      </w:r>
    </w:p>
    <w:p w14:paraId="4B14FE88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Y aquí estamos, con la propuesta de una </w:t>
      </w:r>
      <w:hyperlink r:id="rId12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Iglesia pobre para los pobres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El Papa Francisco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 quien no se le puede acusar de idealista, comienza su prefacio advirtiendo: «¿Quién de nosotros no se siente incómodo al oír la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palabra pobreza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?». Y, a lo largo de su pontificado, ha tenido la sensibilidad profética de mostrar, con gestos y palabras, lo que ahora se consagra en la </w:t>
      </w:r>
      <w:hyperlink r:id="rId13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Exhortación Apostólica </w:t>
        </w:r>
        <w:proofErr w:type="spellStart"/>
        <w:r w:rsidRPr="00D4493E">
          <w:rPr>
            <w:rFonts w:ascii="Arial" w:eastAsia="Times New Roman" w:hAnsi="Arial" w:cs="Arial"/>
            <w:i/>
            <w:iCs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Dilexi</w:t>
        </w:r>
        <w:proofErr w:type="spellEnd"/>
        <w:r w:rsidRPr="00D4493E">
          <w:rPr>
            <w:rFonts w:ascii="Arial" w:eastAsia="Times New Roman" w:hAnsi="Arial" w:cs="Arial"/>
            <w:i/>
            <w:iCs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 xml:space="preserve"> Te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editada junto con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el Papa León XIV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Dejó un legado incómodo: la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Jornada Mundial de los Pobres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el penúltimo domingo del año litúrgico, con su mensaje y gestos siempre actualizados, y que ahora cuenta con el respaldo del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Papa León XIV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Tanto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Francisco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como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León XIV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vivieron entre los pobres; conocen su sufrimiento y su potencial evangelizador y teológico. Saben que no pueden ser meros objetos de caridad pastoral, sino sujetos creativos dentro de la Iglesia misma.</w:t>
      </w:r>
    </w:p>
    <w:p w14:paraId="7F757A20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Sin embargo, aún es necesario profundizar en el verdadero significado de una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 pobre para los pobres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. ¿No estaríamos ante un abuso semántico? ¿Quién cree que la Iglesia renunciará a sus ornamentos, a veces ricamente decorados, que, dicho sea de paso, los </w:t>
      </w:r>
      <w:proofErr w:type="spellStart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babalorixás</w:t>
      </w:r>
      <w:proofErr w:type="spellEnd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(sacerdotes del Candomblé) también se esmeran en usar con celo religioso? ¿O que retirará las alfombras rojas para la entrada de la novia? ¿O, finalmente, renunciará a las campanas de bronce y las catedrales, su gran patrimonio? ¿Tiene sentido —qué sentido tiene— usar la semántica de una Iglesia pobre? ¿No estamos perpetuando una hipocresía repugnante e insoportable? Quizás el mayor desafío para la Iglesia sea su relación con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 de Nazaret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el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que lo ungió para evangelizar a los pobres (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cf. </w:t>
      </w:r>
      <w:proofErr w:type="spellStart"/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Lc</w:t>
      </w:r>
      <w:proofErr w:type="spellEnd"/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4,18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). Quien contempla la Iglesia recuerda a Jesús. Él, «por amor a vosotros se hizo pobre, siendo rico, para que vosotros con su pobreza fueseis enriquecidos» (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2 Corintios 8:9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). En efecto, hay una misión en esta </w:t>
      </w:r>
      <w:proofErr w:type="spellStart"/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kénosis</w:t>
      </w:r>
      <w:proofErr w:type="spellEnd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 este vaciamiento de sí mismo del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Hijo de 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lastRenderedPageBreak/>
        <w:t>Dios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: la hospitalidad y la solidaridad que salvan, la inclusión de los pobres sin ostentación ni exposición, la alegría de la igualdad y, finalmente, la alegría de la verdadera fraternidad.</w:t>
      </w:r>
    </w:p>
    <w:p w14:paraId="58DB0BD8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hyperlink r:id="rId14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Juan XXIII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, el papa que originó esta preocupación dentro del magisterio </w:t>
      </w:r>
      <w:proofErr w:type="gramStart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papal,</w:t>
      </w:r>
      <w:proofErr w:type="gramEnd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aún ofrece una de las indicaciones más acertadas: ser una Iglesia donde los pobres se sientan como en casa. Los pobres también aprecian el aroma del incienso y la música del órgano. La orientación litúrgica, tan originalmente romana, de «noble sencillez» ( </w:t>
      </w:r>
      <w:proofErr w:type="spellStart"/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instrText>HYPERLINK "https://ihu.unisinos.br/categorias/632501-os-60-anos-da-sacrosanctum-concilium-o-foco-da-assembleia-eucaristica-artigo-de-thomas-o-loughlin" \t "_blank"</w:instrText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D4493E">
        <w:rPr>
          <w:rFonts w:ascii="Arial" w:eastAsia="Times New Roman" w:hAnsi="Arial" w:cs="Arial"/>
          <w:i/>
          <w:iCs/>
          <w:color w:val="FC6B01"/>
          <w:kern w:val="0"/>
          <w:sz w:val="26"/>
          <w:szCs w:val="26"/>
          <w:u w:val="single"/>
          <w:lang w:eastAsia="es-UY"/>
          <w14:ligatures w14:val="none"/>
        </w:rPr>
        <w:t>Sacrosanctum</w:t>
      </w:r>
      <w:proofErr w:type="spellEnd"/>
      <w:r w:rsidRPr="00D4493E">
        <w:rPr>
          <w:rFonts w:ascii="Arial" w:eastAsia="Times New Roman" w:hAnsi="Arial" w:cs="Arial"/>
          <w:i/>
          <w:iCs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Concilium</w:t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 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34), les sienta bien y contaría con la aprobación de </w:t>
      </w:r>
      <w:proofErr w:type="spellStart"/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Joãozinho</w:t>
      </w:r>
      <w:proofErr w:type="spellEnd"/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 xml:space="preserve"> Trinta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 . Pero el tambor, el </w:t>
      </w:r>
      <w:proofErr w:type="spellStart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afugê</w:t>
      </w:r>
      <w:proofErr w:type="spellEnd"/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 xml:space="preserve"> y la flauta autóctona también pueden mantener la noble sencillez y el buen gusto. Sin embargo, más allá de alfombras, gorros, anillos de sello y otros ornamentos, el alma de la Iglesia y su mayor desafío es acoger lo que el diácono y mártir </w:t>
      </w:r>
      <w:hyperlink r:id="rId15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San Lorenzo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llamó el «tesoro de la Iglesia»: los pobres —el huérfano y la viuda en sus tribulaciones—, que constituyen nuestro lugar teológico y cristológico privilegiado, nuestro juicio inicial y final. Según </w:t>
      </w:r>
      <w:proofErr w:type="spellStart"/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fldChar w:fldCharType="begin"/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instrText>HYPERLINK "https://www.ihu.unisinos.br/658412-dilexi-te-nao-e-" \t "_blank"</w:instrText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fldChar w:fldCharType="separate"/>
      </w:r>
      <w:r w:rsidRPr="00D4493E">
        <w:rPr>
          <w:rFonts w:ascii="Arial" w:eastAsia="Times New Roman" w:hAnsi="Arial" w:cs="Arial"/>
          <w:i/>
          <w:iCs/>
          <w:color w:val="FC6B01"/>
          <w:kern w:val="0"/>
          <w:sz w:val="26"/>
          <w:szCs w:val="26"/>
          <w:u w:val="single"/>
          <w:lang w:eastAsia="es-UY"/>
          <w14:ligatures w14:val="none"/>
        </w:rPr>
        <w:t>Dilexi</w:t>
      </w:r>
      <w:proofErr w:type="spellEnd"/>
      <w:r w:rsidRPr="00D4493E">
        <w:rPr>
          <w:rFonts w:ascii="Arial" w:eastAsia="Times New Roman" w:hAnsi="Arial" w:cs="Arial"/>
          <w:i/>
          <w:iCs/>
          <w:color w:val="FC6B01"/>
          <w:kern w:val="0"/>
          <w:sz w:val="26"/>
          <w:szCs w:val="26"/>
          <w:u w:val="single"/>
          <w:lang w:eastAsia="es-UY"/>
          <w14:ligatures w14:val="none"/>
        </w:rPr>
        <w:t xml:space="preserve"> Te</w:t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fldChar w:fldCharType="end"/>
      </w:r>
      <w:r w:rsidRPr="00D4493E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 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110, citando </w:t>
      </w:r>
      <w:r w:rsidRPr="00D4493E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al Papa Francisco</w:t>
      </w: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los pobres son la carne de Cristo: «La Iglesia pobre para los pobres comienza dirigiéndose a la carne de Cristo. Si fijamos nuestra mirada en la carne de Cristo, empezamos (...) a comprender qué es esta pobreza: la pobreza del Señor. ¡Y eso no es fácil!». El resto —ritos y libros, prescripciones y procesiones, e incluso oraciones, por necesarias que sean— es mera religión, formalidad religiosa, una interpretación del apóstol </w:t>
      </w:r>
      <w:hyperlink r:id="rId16" w:tgtFrame="_blank" w:history="1">
        <w:r w:rsidRPr="00D4493E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Santiago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1:27.</w:t>
      </w:r>
    </w:p>
    <w:p w14:paraId="66623ECC" w14:textId="77777777" w:rsidR="00D4493E" w:rsidRPr="00D4493E" w:rsidRDefault="00D4493E" w:rsidP="00D4493E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D4493E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Nota de la UHI</w:t>
      </w:r>
    </w:p>
    <w:p w14:paraId="62101670" w14:textId="77777777" w:rsidR="00D4493E" w:rsidRPr="00D4493E" w:rsidRDefault="00D4493E" w:rsidP="00D4493E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Mensaje del Santo Padre León XIV para la IX Jornada Mundial de los Pobres, XXXIII Domingo del Tiempo Ordinario, 16-11-2025, puede leerse </w:t>
      </w:r>
      <w:hyperlink r:id="rId17" w:tgtFrame="_blank" w:history="1">
        <w:r w:rsidRPr="00D4493E">
          <w:rPr>
            <w:rFonts w:ascii="Arial" w:eastAsia="Times New Roman" w:hAnsi="Arial" w:cs="Arial"/>
            <w:b/>
            <w:bCs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aquí</w:t>
        </w:r>
      </w:hyperlink>
      <w:r w:rsidRPr="00D4493E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</w:t>
      </w:r>
    </w:p>
    <w:p w14:paraId="1E1E2F6C" w14:textId="77777777" w:rsidR="00926044" w:rsidRDefault="00926044"/>
    <w:p w14:paraId="20AECED3" w14:textId="47147F6A" w:rsidR="00D4493E" w:rsidRDefault="00D4493E">
      <w:hyperlink r:id="rId18" w:history="1">
        <w:r w:rsidRPr="003B1F4D">
          <w:rPr>
            <w:rStyle w:val="Hipervnculo"/>
          </w:rPr>
          <w:t>https://www.ihu.unisinos.br/659906-igreja-pobre-para-os-pobres-um-escandalo-semantico-artigo-de-frei-luiz-carlos-susin?utm_medium=email&amp;utm_campaign=newsletter_ihu__13-11-2025&amp;utm_source=RD+Station</w:t>
        </w:r>
      </w:hyperlink>
    </w:p>
    <w:p w14:paraId="648B3E6E" w14:textId="77777777" w:rsidR="00D4493E" w:rsidRDefault="00D4493E"/>
    <w:sectPr w:rsidR="00D449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3E"/>
    <w:rsid w:val="00926044"/>
    <w:rsid w:val="00BD082F"/>
    <w:rsid w:val="00D4493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41F7"/>
  <w15:chartTrackingRefBased/>
  <w15:docId w15:val="{9C34F33F-6A83-4AFB-85C6-3C64820D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4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4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4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4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49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49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49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49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49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49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49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49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49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4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49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49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449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4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56837-grito-dos-excluidos-e-das-excluidas-2025-vox-patris-artigo-de-marcos-sassatelli" TargetMode="External"/><Relationship Id="rId13" Type="http://schemas.openxmlformats.org/officeDocument/2006/relationships/hyperlink" Target="https://www.ihu.unisinos.br/categorias/658511-dilexi-te-a-exortacao-apostolica-foi-publicada-mas-quais-serao-as-nossas-acoes-como-cristaos-artigo-de-orlando-polidoro-junior" TargetMode="External"/><Relationship Id="rId18" Type="http://schemas.openxmlformats.org/officeDocument/2006/relationships/hyperlink" Target="https://www.ihu.unisinos.br/659906-igreja-pobre-para-os-pobres-um-escandalo-semantico-artigo-de-frei-luiz-carlos-susin?utm_medium=email&amp;utm_campaign=newsletter_ihu__13-11-2025&amp;utm_source=RD+S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15635-desigualdade-social-o-maior-problema-do-brasil" TargetMode="External"/><Relationship Id="rId12" Type="http://schemas.openxmlformats.org/officeDocument/2006/relationships/hyperlink" Target="https://ihu.unisinos.br/categorias/608888-o-papa-por-uma-igreja-pobre-com-e-para-os-pobres" TargetMode="External"/><Relationship Id="rId17" Type="http://schemas.openxmlformats.org/officeDocument/2006/relationships/hyperlink" Target="https://www.vatican.va/content/leo-xiv/pt/messages/poor/documents/20250613-messaggio-giornata-pover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589702-rumo-a-uma-igreja-da-misericordia-artigo-de-paolo-ricc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hu.unisinos.br/categorias/651545-entrevista-cardeal-mueller-sobre-se-o-papa-francisco-foi-herege-e-o-que-ele-espera-do-proximo-papa" TargetMode="External"/><Relationship Id="rId11" Type="http://schemas.openxmlformats.org/officeDocument/2006/relationships/hyperlink" Target="https://ihu.unisinos.br/categorias/627082-em-levantamento-recente-pastoral-da-crianca-alerta-para-aumento-de-casos-de-desnutricao-infantil-no-brasil" TargetMode="External"/><Relationship Id="rId5" Type="http://schemas.openxmlformats.org/officeDocument/2006/relationships/hyperlink" Target="https://www.ihu.unisinos.br/categorias/629920-teologia-da-libertacao-um-pensamento-de-luta-com-a-morte-em-defesa-da-vida-afirma-luiz-carlos-susin" TargetMode="External"/><Relationship Id="rId15" Type="http://schemas.openxmlformats.org/officeDocument/2006/relationships/hyperlink" Target="https://ihu.unisinos.br/categorias/621132-o-papa-como-sao-lourenco-testemunhas-do-evangelho-a-servico-dos-pobres" TargetMode="External"/><Relationship Id="rId10" Type="http://schemas.openxmlformats.org/officeDocument/2006/relationships/hyperlink" Target="https://ihu.unisinos.br/categorias/627082-em-levantamento-recente-pastoral-da-crianca-alerta-para-aumento-de-casos-de-desnutricao-infantil-no-brasi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hu.unisinos.br/categorias/186-noticias-2017/571278-grito-dos-excluidos-por-direito-e-democracia-a-luta-e-todo-dia" TargetMode="External"/><Relationship Id="rId14" Type="http://schemas.openxmlformats.org/officeDocument/2006/relationships/hyperlink" Target="https://www.ihu.unisinos.br/categorias/629303-joao-xxiii-morria-ha-60-anos-sua-vida-pela-igreja-e-pela-pa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1544</Words>
  <Characters>8496</Characters>
  <Application>Microsoft Office Word</Application>
  <DocSecurity>0</DocSecurity>
  <Lines>70</Lines>
  <Paragraphs>20</Paragraphs>
  <ScaleCrop>false</ScaleCrop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2025-11-13T16:45:00Z</dcterms:created>
  <dcterms:modified xsi:type="dcterms:W3CDTF">2025-11-13T16:46:00Z</dcterms:modified>
</cp:coreProperties>
</file>