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32C1" w14:textId="77777777" w:rsidR="005B686B" w:rsidRPr="005B686B" w:rsidRDefault="005B686B" w:rsidP="005B686B">
      <w:pPr>
        <w:shd w:val="clear" w:color="auto" w:fill="FFFFFF"/>
        <w:spacing w:before="450" w:after="450" w:line="240" w:lineRule="auto"/>
        <w:outlineLvl w:val="0"/>
        <w:rPr>
          <w:rFonts w:ascii="Arial" w:eastAsia="Times New Roman" w:hAnsi="Arial" w:cs="Arial"/>
          <w:color w:val="333333"/>
          <w:kern w:val="36"/>
          <w:sz w:val="48"/>
          <w:szCs w:val="48"/>
          <w:lang w:eastAsia="es-UY"/>
          <w14:ligatures w14:val="none"/>
        </w:rPr>
      </w:pPr>
      <w:r w:rsidRPr="005B686B">
        <w:rPr>
          <w:rFonts w:ascii="Arial" w:eastAsia="Times New Roman" w:hAnsi="Arial" w:cs="Arial"/>
          <w:color w:val="333333"/>
          <w:kern w:val="36"/>
          <w:sz w:val="48"/>
          <w:szCs w:val="48"/>
          <w:lang w:eastAsia="es-UY"/>
          <w14:ligatures w14:val="none"/>
        </w:rPr>
        <w:t>La Carta Rota: Derechos Humanos a 77 Años de la Declaración Universal</w:t>
      </w:r>
    </w:p>
    <w:p w14:paraId="1C4ED701" w14:textId="77777777" w:rsidR="005B686B" w:rsidRPr="005B686B" w:rsidRDefault="005B686B" w:rsidP="005B686B">
      <w:pPr>
        <w:shd w:val="clear" w:color="auto" w:fill="FFFFFF"/>
        <w:spacing w:after="0" w:line="240" w:lineRule="auto"/>
        <w:rPr>
          <w:rFonts w:ascii="Arial" w:eastAsia="Times New Roman" w:hAnsi="Arial" w:cs="Arial"/>
          <w:color w:val="333333"/>
          <w:kern w:val="0"/>
          <w:sz w:val="29"/>
          <w:szCs w:val="29"/>
          <w:lang w:eastAsia="es-UY"/>
          <w14:ligatures w14:val="none"/>
        </w:rPr>
      </w:pPr>
      <w:r w:rsidRPr="005B686B">
        <w:rPr>
          <w:rFonts w:ascii="Arial" w:eastAsia="Times New Roman" w:hAnsi="Arial" w:cs="Arial"/>
          <w:noProof/>
          <w:color w:val="333333"/>
          <w:kern w:val="0"/>
          <w:sz w:val="29"/>
          <w:szCs w:val="29"/>
          <w:lang w:eastAsia="es-UY"/>
          <w14:ligatures w14:val="none"/>
        </w:rPr>
        <w:drawing>
          <wp:inline distT="0" distB="0" distL="0" distR="0" wp14:anchorId="2C315AD1" wp14:editId="7B01A34C">
            <wp:extent cx="5435600" cy="3057525"/>
            <wp:effectExtent l="0" t="0" r="0" b="9525"/>
            <wp:docPr id="1" name="Imagen 2" descr="Un grupo de personas alrededor de una camione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Un grupo de personas alrededor de una camioneta&#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44573" cy="3062572"/>
                    </a:xfrm>
                    <a:prstGeom prst="rect">
                      <a:avLst/>
                    </a:prstGeom>
                    <a:noFill/>
                    <a:ln>
                      <a:noFill/>
                    </a:ln>
                  </pic:spPr>
                </pic:pic>
              </a:graphicData>
            </a:graphic>
          </wp:inline>
        </w:drawing>
      </w:r>
    </w:p>
    <w:p w14:paraId="179B0061" w14:textId="77777777" w:rsidR="005B686B" w:rsidRPr="005B686B" w:rsidRDefault="005B686B" w:rsidP="005B686B">
      <w:pPr>
        <w:shd w:val="clear" w:color="auto" w:fill="FFFFFF"/>
        <w:spacing w:before="100" w:beforeAutospacing="1" w:after="100" w:afterAutospacing="1" w:line="240" w:lineRule="auto"/>
        <w:jc w:val="both"/>
        <w:outlineLvl w:val="1"/>
        <w:rPr>
          <w:rFonts w:ascii="Arial" w:eastAsia="Times New Roman" w:hAnsi="Arial" w:cs="Arial"/>
          <w:color w:val="7A7A7A"/>
          <w:kern w:val="0"/>
          <w:sz w:val="36"/>
          <w:szCs w:val="36"/>
          <w:lang w:eastAsia="es-UY"/>
          <w14:ligatures w14:val="none"/>
        </w:rPr>
      </w:pPr>
      <w:r w:rsidRPr="005B686B">
        <w:rPr>
          <w:rFonts w:ascii="Arial" w:eastAsia="Times New Roman" w:hAnsi="Arial" w:cs="Arial"/>
          <w:b/>
          <w:bCs/>
          <w:color w:val="7A7A7A"/>
          <w:kern w:val="0"/>
          <w:sz w:val="36"/>
          <w:szCs w:val="36"/>
          <w:lang w:eastAsia="es-UY"/>
          <w14:ligatures w14:val="none"/>
        </w:rPr>
        <w:t xml:space="preserve">A 77 años de la Declaración Universal de los Derechos Humanos (DUDH) de 1948 (10 de diciembre), la realidad </w:t>
      </w:r>
      <w:proofErr w:type="spellStart"/>
      <w:r w:rsidRPr="005B686B">
        <w:rPr>
          <w:rFonts w:ascii="Arial" w:eastAsia="Times New Roman" w:hAnsi="Arial" w:cs="Arial"/>
          <w:b/>
          <w:bCs/>
          <w:color w:val="7A7A7A"/>
          <w:kern w:val="0"/>
          <w:sz w:val="36"/>
          <w:szCs w:val="36"/>
          <w:lang w:eastAsia="es-UY"/>
          <w14:ligatures w14:val="none"/>
        </w:rPr>
        <w:t>ea</w:t>
      </w:r>
      <w:proofErr w:type="spellEnd"/>
      <w:r w:rsidRPr="005B686B">
        <w:rPr>
          <w:rFonts w:ascii="Arial" w:eastAsia="Times New Roman" w:hAnsi="Arial" w:cs="Arial"/>
          <w:b/>
          <w:bCs/>
          <w:color w:val="7A7A7A"/>
          <w:kern w:val="0"/>
          <w:sz w:val="36"/>
          <w:szCs w:val="36"/>
          <w:lang w:eastAsia="es-UY"/>
          <w14:ligatures w14:val="none"/>
        </w:rPr>
        <w:t xml:space="preserve"> sombría: el sistema normativo, concebido como el baluarte ético de la humanidad, enfrenta una crisis de ejecución y un colapso de voluntad política global. La DUDH, nacida del horror de la Segunda Guerra Mundial, hoy parece una carta solemne rota por las realidades geopolíticas y económicas del siglo XXI.</w:t>
      </w:r>
    </w:p>
    <w:p w14:paraId="306A59DD" w14:textId="77777777" w:rsidR="005B686B" w:rsidRPr="005B686B" w:rsidRDefault="005B686B" w:rsidP="005B686B">
      <w:pPr>
        <w:shd w:val="clear" w:color="auto" w:fill="FFFFFF"/>
        <w:spacing w:before="100" w:beforeAutospacing="1" w:after="100" w:afterAutospacing="1" w:line="240" w:lineRule="auto"/>
        <w:jc w:val="both"/>
        <w:rPr>
          <w:rFonts w:ascii="Arial" w:eastAsia="Times New Roman" w:hAnsi="Arial" w:cs="Arial"/>
          <w:color w:val="7A7A7A"/>
          <w:kern w:val="0"/>
          <w:sz w:val="29"/>
          <w:szCs w:val="29"/>
          <w:lang w:eastAsia="es-UY"/>
          <w14:ligatures w14:val="none"/>
        </w:rPr>
      </w:pPr>
      <w:r w:rsidRPr="005B686B">
        <w:rPr>
          <w:rFonts w:ascii="Arial" w:eastAsia="Times New Roman" w:hAnsi="Arial" w:cs="Arial"/>
          <w:b/>
          <w:bCs/>
          <w:color w:val="7A7A7A"/>
          <w:kern w:val="0"/>
          <w:sz w:val="29"/>
          <w:szCs w:val="29"/>
          <w:lang w:eastAsia="es-UY"/>
          <w14:ligatures w14:val="none"/>
        </w:rPr>
        <w:t>La Impotencia Global ante el Genocidio en Gaza</w:t>
      </w:r>
      <w:r w:rsidRPr="005B686B">
        <w:rPr>
          <w:rFonts w:ascii="Arial" w:eastAsia="Times New Roman" w:hAnsi="Arial" w:cs="Arial"/>
          <w:color w:val="7A7A7A"/>
          <w:kern w:val="0"/>
          <w:sz w:val="29"/>
          <w:szCs w:val="29"/>
          <w:lang w:eastAsia="es-UY"/>
          <w14:ligatures w14:val="none"/>
        </w:rPr>
        <w:br/>
        <w:t xml:space="preserve">El </w:t>
      </w:r>
      <w:proofErr w:type="spellStart"/>
      <w:r w:rsidRPr="005B686B">
        <w:rPr>
          <w:rFonts w:ascii="Arial" w:eastAsia="Times New Roman" w:hAnsi="Arial" w:cs="Arial"/>
          <w:color w:val="7A7A7A"/>
          <w:kern w:val="0"/>
          <w:sz w:val="29"/>
          <w:szCs w:val="29"/>
          <w:lang w:eastAsia="es-UY"/>
          <w14:ligatures w14:val="none"/>
        </w:rPr>
        <w:t>genocio</w:t>
      </w:r>
      <w:proofErr w:type="spellEnd"/>
      <w:r w:rsidRPr="005B686B">
        <w:rPr>
          <w:rFonts w:ascii="Arial" w:eastAsia="Times New Roman" w:hAnsi="Arial" w:cs="Arial"/>
          <w:color w:val="7A7A7A"/>
          <w:kern w:val="0"/>
          <w:sz w:val="29"/>
          <w:szCs w:val="29"/>
          <w:lang w:eastAsia="es-UY"/>
          <w14:ligatures w14:val="none"/>
        </w:rPr>
        <w:t xml:space="preserve"> actual en Gaza es el ejemplo más lacerante y visible de la disolución de los consensos mínimos. La escalada de violencia, que sectores de la comunidad internacional y académicos han calificado de genocidio, se ejecuta ante la impotencia o la complicidad calculada de los principales organismos internacionales y potencias mundiales. La cifra abrumadora de </w:t>
      </w:r>
      <w:r w:rsidRPr="005B686B">
        <w:rPr>
          <w:rFonts w:ascii="Arial" w:eastAsia="Times New Roman" w:hAnsi="Arial" w:cs="Arial"/>
          <w:color w:val="7A7A7A"/>
          <w:kern w:val="0"/>
          <w:sz w:val="29"/>
          <w:szCs w:val="29"/>
          <w:lang w:eastAsia="es-UY"/>
          <w14:ligatures w14:val="none"/>
        </w:rPr>
        <w:lastRenderedPageBreak/>
        <w:t>víctimas civiles, el desplazamiento forzado de millones de personas y la destrucción sistemática de infraestructura esencial (hospitales, escuelas, refugios de la ONU) constituyen una vulneración casi completa de los Derechos Humanos, el Derecho Internacional Humanitario y el Derecho Penal Internacional.</w:t>
      </w:r>
      <w:r w:rsidRPr="005B686B">
        <w:rPr>
          <w:rFonts w:ascii="Arial" w:eastAsia="Times New Roman" w:hAnsi="Arial" w:cs="Arial"/>
          <w:color w:val="7A7A7A"/>
          <w:kern w:val="0"/>
          <w:sz w:val="29"/>
          <w:szCs w:val="29"/>
          <w:lang w:eastAsia="es-UY"/>
          <w14:ligatures w14:val="none"/>
        </w:rPr>
        <w:br/>
        <w:t>La parálisis de la comunidad internacional, especialmente en el Consejo de Seguridad de la ONU, expone cómo los intereses geopolíticos (el veto de potencias con alineamientos estratégicos) anulan la obligación ética y legal de proteger a las poblaciones vulnerables, evidenciando una jerarquía de vidas donde la dignidad humana se somete a la utilidad política.</w:t>
      </w:r>
    </w:p>
    <w:p w14:paraId="358EC6CA" w14:textId="77777777" w:rsidR="005B686B" w:rsidRDefault="005B686B" w:rsidP="005B686B">
      <w:pPr>
        <w:shd w:val="clear" w:color="auto" w:fill="FFFFFF"/>
        <w:spacing w:before="100" w:beforeAutospacing="1" w:after="100" w:afterAutospacing="1" w:line="240" w:lineRule="auto"/>
        <w:jc w:val="both"/>
        <w:rPr>
          <w:rFonts w:ascii="Arial" w:eastAsia="Times New Roman" w:hAnsi="Arial" w:cs="Arial"/>
          <w:b/>
          <w:bCs/>
          <w:color w:val="7A7A7A"/>
          <w:kern w:val="0"/>
          <w:sz w:val="29"/>
          <w:szCs w:val="29"/>
          <w:lang w:eastAsia="es-UY"/>
          <w14:ligatures w14:val="none"/>
        </w:rPr>
      </w:pPr>
      <w:r w:rsidRPr="005B686B">
        <w:rPr>
          <w:rFonts w:ascii="Arial" w:eastAsia="Times New Roman" w:hAnsi="Arial" w:cs="Arial"/>
          <w:b/>
          <w:bCs/>
          <w:color w:val="7A7A7A"/>
          <w:kern w:val="0"/>
          <w:sz w:val="29"/>
          <w:szCs w:val="29"/>
          <w:lang w:eastAsia="es-UY"/>
          <w14:ligatures w14:val="none"/>
        </w:rPr>
        <w:t>Migrantes: La Deshumanización en la Frontera</w:t>
      </w:r>
    </w:p>
    <w:p w14:paraId="7B0637D7" w14:textId="416CF27A" w:rsidR="005B686B" w:rsidRPr="005B686B" w:rsidRDefault="005B686B" w:rsidP="005B686B">
      <w:pPr>
        <w:shd w:val="clear" w:color="auto" w:fill="FFFFFF"/>
        <w:spacing w:before="100" w:beforeAutospacing="1" w:after="100" w:afterAutospacing="1" w:line="240" w:lineRule="auto"/>
        <w:jc w:val="both"/>
        <w:rPr>
          <w:rFonts w:ascii="Arial" w:eastAsia="Times New Roman" w:hAnsi="Arial" w:cs="Arial"/>
          <w:color w:val="7A7A7A"/>
          <w:kern w:val="0"/>
          <w:sz w:val="29"/>
          <w:szCs w:val="29"/>
          <w:lang w:eastAsia="es-UY"/>
          <w14:ligatures w14:val="none"/>
        </w:rPr>
      </w:pPr>
      <w:r w:rsidRPr="005B686B">
        <w:rPr>
          <w:rFonts w:ascii="Arial" w:eastAsia="Times New Roman" w:hAnsi="Arial" w:cs="Arial"/>
          <w:color w:val="7A7A7A"/>
          <w:kern w:val="0"/>
          <w:sz w:val="29"/>
          <w:szCs w:val="29"/>
          <w:lang w:eastAsia="es-UY"/>
          <w14:ligatures w14:val="none"/>
        </w:rPr>
        <w:t>La crisis migratoria global representa una vulneración sistemática de los derechos a la dignidad, la seguridad jurídica, la libertad de tránsito y la no discriminación. Millones de personas desplazadas por la guerra, el hambre y el colapso climático son tratadas como no humanos en las fronteras de los países ricos y de tránsito.</w:t>
      </w:r>
    </w:p>
    <w:p w14:paraId="38993B07" w14:textId="77777777" w:rsidR="005B686B" w:rsidRPr="005B686B" w:rsidRDefault="005B686B" w:rsidP="005B686B">
      <w:pPr>
        <w:shd w:val="clear" w:color="auto" w:fill="FFFFFF"/>
        <w:spacing w:after="0" w:line="240" w:lineRule="auto"/>
        <w:rPr>
          <w:rFonts w:ascii="Arial" w:eastAsia="Times New Roman" w:hAnsi="Arial" w:cs="Arial"/>
          <w:color w:val="7A7A7A"/>
          <w:kern w:val="0"/>
          <w:sz w:val="29"/>
          <w:szCs w:val="29"/>
          <w:lang w:eastAsia="es-UY"/>
          <w14:ligatures w14:val="none"/>
        </w:rPr>
      </w:pPr>
      <w:hyperlink r:id="rId5" w:history="1">
        <w:r w:rsidRPr="005B686B">
          <w:rPr>
            <w:rFonts w:ascii="Arial" w:eastAsia="Times New Roman" w:hAnsi="Arial" w:cs="Arial"/>
            <w:noProof/>
            <w:color w:val="000000"/>
            <w:kern w:val="0"/>
            <w:sz w:val="29"/>
            <w:szCs w:val="29"/>
            <w:lang w:eastAsia="es-UY"/>
            <w14:ligatures w14:val="none"/>
          </w:rPr>
          <w:drawing>
            <wp:anchor distT="0" distB="0" distL="114300" distR="114300" simplePos="0" relativeHeight="251658240" behindDoc="1" locked="0" layoutInCell="1" allowOverlap="1" wp14:anchorId="4BB35476" wp14:editId="759F784D">
              <wp:simplePos x="0" y="0"/>
              <wp:positionH relativeFrom="column">
                <wp:posOffset>-635</wp:posOffset>
              </wp:positionH>
              <wp:positionV relativeFrom="paragraph">
                <wp:posOffset>0</wp:posOffset>
              </wp:positionV>
              <wp:extent cx="1428750" cy="1428750"/>
              <wp:effectExtent l="0" t="0" r="0" b="0"/>
              <wp:wrapTight wrapText="bothSides">
                <wp:wrapPolygon edited="0">
                  <wp:start x="0" y="0"/>
                  <wp:lineTo x="0" y="21312"/>
                  <wp:lineTo x="21312" y="21312"/>
                  <wp:lineTo x="21312" y="0"/>
                  <wp:lineTo x="0" y="0"/>
                </wp:wrapPolygon>
              </wp:wrapTight>
              <wp:docPr id="2" name="Imagen 1" descr="11-comprimid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comprimid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86B">
          <w:rPr>
            <w:rFonts w:ascii="Arial" w:eastAsia="Times New Roman" w:hAnsi="Arial" w:cs="Arial"/>
            <w:b/>
            <w:bCs/>
            <w:color w:val="9B0808"/>
            <w:kern w:val="0"/>
            <w:sz w:val="29"/>
            <w:szCs w:val="29"/>
            <w:lang w:eastAsia="es-UY"/>
            <w14:ligatures w14:val="none"/>
          </w:rPr>
          <w:t xml:space="preserve">Gobierno de Milei en ofensiva contra entidades de derechos </w:t>
        </w:r>
        <w:proofErr w:type="spellStart"/>
        <w:r w:rsidRPr="005B686B">
          <w:rPr>
            <w:rFonts w:ascii="Arial" w:eastAsia="Times New Roman" w:hAnsi="Arial" w:cs="Arial"/>
            <w:b/>
            <w:bCs/>
            <w:color w:val="9B0808"/>
            <w:kern w:val="0"/>
            <w:sz w:val="29"/>
            <w:szCs w:val="29"/>
            <w:lang w:eastAsia="es-UY"/>
            <w14:ligatures w14:val="none"/>
          </w:rPr>
          <w:t>humanos</w:t>
        </w:r>
      </w:hyperlink>
      <w:r w:rsidRPr="005B686B">
        <w:rPr>
          <w:rFonts w:ascii="Arial" w:eastAsia="Times New Roman" w:hAnsi="Arial" w:cs="Arial"/>
          <w:color w:val="767676"/>
          <w:kern w:val="0"/>
          <w:sz w:val="29"/>
          <w:szCs w:val="29"/>
          <w:lang w:eastAsia="es-UY"/>
          <w14:ligatures w14:val="none"/>
        </w:rPr>
        <w:t>Defensores</w:t>
      </w:r>
      <w:proofErr w:type="spellEnd"/>
      <w:r w:rsidRPr="005B686B">
        <w:rPr>
          <w:rFonts w:ascii="Arial" w:eastAsia="Times New Roman" w:hAnsi="Arial" w:cs="Arial"/>
          <w:color w:val="767676"/>
          <w:kern w:val="0"/>
          <w:sz w:val="29"/>
          <w:szCs w:val="29"/>
          <w:lang w:eastAsia="es-UY"/>
          <w14:ligatures w14:val="none"/>
        </w:rPr>
        <w:t xml:space="preserve"> de los derechos humanos en Argentina celebrarán el miércoles su Día Internacional envueltos en duro enfrentamiento con el gobierno…</w:t>
      </w:r>
    </w:p>
    <w:p w14:paraId="697A4233" w14:textId="77777777" w:rsidR="005B686B" w:rsidRPr="005B686B" w:rsidRDefault="005B686B" w:rsidP="005B686B">
      <w:pPr>
        <w:shd w:val="clear" w:color="auto" w:fill="FFFFFF"/>
        <w:spacing w:before="100" w:beforeAutospacing="1" w:after="100" w:afterAutospacing="1" w:line="240" w:lineRule="auto"/>
        <w:jc w:val="both"/>
        <w:rPr>
          <w:rFonts w:ascii="Arial" w:eastAsia="Times New Roman" w:hAnsi="Arial" w:cs="Arial"/>
          <w:color w:val="7A7A7A"/>
          <w:kern w:val="0"/>
          <w:sz w:val="29"/>
          <w:szCs w:val="29"/>
          <w:lang w:eastAsia="es-UY"/>
          <w14:ligatures w14:val="none"/>
        </w:rPr>
      </w:pPr>
      <w:r w:rsidRPr="005B686B">
        <w:rPr>
          <w:rFonts w:ascii="Arial" w:eastAsia="Times New Roman" w:hAnsi="Arial" w:cs="Arial"/>
          <w:color w:val="7A7A7A"/>
          <w:kern w:val="0"/>
          <w:sz w:val="29"/>
          <w:szCs w:val="29"/>
          <w:lang w:eastAsia="es-UY"/>
          <w14:ligatures w14:val="none"/>
        </w:rPr>
        <w:t xml:space="preserve">Castigo y Criminalización: En lugar de ser acogidos como sujetos de derechos, los migrantes son criminalizados, detenidos en condiciones inhumanas y sometidos a políticas de contención que violan tratados internacionales en los </w:t>
      </w:r>
      <w:proofErr w:type="gramStart"/>
      <w:r w:rsidRPr="005B686B">
        <w:rPr>
          <w:rFonts w:ascii="Arial" w:eastAsia="Times New Roman" w:hAnsi="Arial" w:cs="Arial"/>
          <w:color w:val="7A7A7A"/>
          <w:kern w:val="0"/>
          <w:sz w:val="29"/>
          <w:szCs w:val="29"/>
          <w:lang w:eastAsia="es-UY"/>
          <w14:ligatures w14:val="none"/>
        </w:rPr>
        <w:t>EEUU</w:t>
      </w:r>
      <w:proofErr w:type="gramEnd"/>
      <w:r w:rsidRPr="005B686B">
        <w:rPr>
          <w:rFonts w:ascii="Arial" w:eastAsia="Times New Roman" w:hAnsi="Arial" w:cs="Arial"/>
          <w:color w:val="7A7A7A"/>
          <w:kern w:val="0"/>
          <w:sz w:val="29"/>
          <w:szCs w:val="29"/>
          <w:lang w:eastAsia="es-UY"/>
          <w14:ligatures w14:val="none"/>
        </w:rPr>
        <w:t>.</w:t>
      </w:r>
    </w:p>
    <w:p w14:paraId="124A8362" w14:textId="77777777" w:rsidR="005B686B" w:rsidRPr="005B686B" w:rsidRDefault="005B686B" w:rsidP="005B686B">
      <w:pPr>
        <w:shd w:val="clear" w:color="auto" w:fill="FFFFFF"/>
        <w:spacing w:before="100" w:beforeAutospacing="1" w:after="100" w:afterAutospacing="1" w:line="240" w:lineRule="auto"/>
        <w:jc w:val="both"/>
        <w:rPr>
          <w:rFonts w:ascii="Arial" w:eastAsia="Times New Roman" w:hAnsi="Arial" w:cs="Arial"/>
          <w:color w:val="7A7A7A"/>
          <w:kern w:val="0"/>
          <w:sz w:val="29"/>
          <w:szCs w:val="29"/>
          <w:lang w:eastAsia="es-UY"/>
          <w14:ligatures w14:val="none"/>
        </w:rPr>
      </w:pPr>
      <w:r w:rsidRPr="005B686B">
        <w:rPr>
          <w:rFonts w:ascii="Arial" w:eastAsia="Times New Roman" w:hAnsi="Arial" w:cs="Arial"/>
          <w:color w:val="7A7A7A"/>
          <w:kern w:val="0"/>
          <w:sz w:val="29"/>
          <w:szCs w:val="29"/>
          <w:lang w:eastAsia="es-UY"/>
          <w14:ligatures w14:val="none"/>
        </w:rPr>
        <w:t>Ausencia de Derechos Económicos y Sociales: Se les niega el acceso a derechos básicos como salud y educación, convirtiéndolos en una mano de obra explotable y en chivos expiatorios de problemas socioeconómicos internos.</w:t>
      </w:r>
      <w:r w:rsidRPr="005B686B">
        <w:rPr>
          <w:rFonts w:ascii="Arial" w:eastAsia="Times New Roman" w:hAnsi="Arial" w:cs="Arial"/>
          <w:color w:val="7A7A7A"/>
          <w:kern w:val="0"/>
          <w:sz w:val="29"/>
          <w:szCs w:val="29"/>
          <w:lang w:eastAsia="es-UY"/>
          <w14:ligatures w14:val="none"/>
        </w:rPr>
        <w:br/>
        <w:t>Esta situación subraya que la universalidad de los derechos es una promesa vacía cuando colisiona con las políticas de control fronterizo y la xenofobia institucionalizada.</w:t>
      </w:r>
    </w:p>
    <w:p w14:paraId="4B83AE4F" w14:textId="77777777" w:rsidR="005B686B" w:rsidRDefault="005B686B" w:rsidP="005B686B">
      <w:pPr>
        <w:shd w:val="clear" w:color="auto" w:fill="FFFFFF"/>
        <w:spacing w:before="100" w:beforeAutospacing="1" w:after="100" w:afterAutospacing="1" w:line="240" w:lineRule="auto"/>
        <w:jc w:val="both"/>
        <w:rPr>
          <w:rFonts w:ascii="Arial" w:eastAsia="Times New Roman" w:hAnsi="Arial" w:cs="Arial"/>
          <w:color w:val="7A7A7A"/>
          <w:kern w:val="0"/>
          <w:sz w:val="29"/>
          <w:szCs w:val="29"/>
          <w:lang w:eastAsia="es-UY"/>
          <w14:ligatures w14:val="none"/>
        </w:rPr>
      </w:pPr>
      <w:r w:rsidRPr="005B686B">
        <w:rPr>
          <w:rFonts w:ascii="Arial" w:eastAsia="Times New Roman" w:hAnsi="Arial" w:cs="Arial"/>
          <w:b/>
          <w:bCs/>
          <w:color w:val="7A7A7A"/>
          <w:kern w:val="0"/>
          <w:sz w:val="29"/>
          <w:szCs w:val="29"/>
          <w:lang w:eastAsia="es-UY"/>
          <w14:ligatures w14:val="none"/>
        </w:rPr>
        <w:lastRenderedPageBreak/>
        <w:t>Autodeterminación y Saqueo: El Legado de la Intervención</w:t>
      </w:r>
      <w:r w:rsidRPr="005B686B">
        <w:rPr>
          <w:rFonts w:ascii="Arial" w:eastAsia="Times New Roman" w:hAnsi="Arial" w:cs="Arial"/>
          <w:color w:val="7A7A7A"/>
          <w:kern w:val="0"/>
          <w:sz w:val="29"/>
          <w:szCs w:val="29"/>
          <w:lang w:eastAsia="es-UY"/>
          <w14:ligatures w14:val="none"/>
        </w:rPr>
        <w:br/>
        <w:t>El Derecho a la Autodeterminación de los Pueblos, pilar de la Carta de la ONU, ha sido históricamente socavado por la intervención de potencias como Estados Unidos en nombre de la «democracia» o la «seguridad nacional». Estas intervenciones, a menudo disfrazadas de misiones de paz o apoyo, han tenido como objetivo real el control de recursos estratégicos como el petróleo, minerales o el acceso a mercados.</w:t>
      </w:r>
    </w:p>
    <w:p w14:paraId="4F9F0CCF" w14:textId="5E6B0AA1" w:rsidR="005B686B" w:rsidRPr="005B686B" w:rsidRDefault="005B686B" w:rsidP="005B686B">
      <w:pPr>
        <w:shd w:val="clear" w:color="auto" w:fill="FFFFFF"/>
        <w:spacing w:before="100" w:beforeAutospacing="1" w:after="100" w:afterAutospacing="1" w:line="240" w:lineRule="auto"/>
        <w:jc w:val="both"/>
        <w:rPr>
          <w:rFonts w:ascii="Arial" w:eastAsia="Times New Roman" w:hAnsi="Arial" w:cs="Arial"/>
          <w:color w:val="7A7A7A"/>
          <w:kern w:val="0"/>
          <w:sz w:val="29"/>
          <w:szCs w:val="29"/>
          <w:lang w:eastAsia="es-UY"/>
          <w14:ligatures w14:val="none"/>
        </w:rPr>
      </w:pPr>
      <w:r w:rsidRPr="005B686B">
        <w:rPr>
          <w:rFonts w:ascii="Arial" w:eastAsia="Times New Roman" w:hAnsi="Arial" w:cs="Arial"/>
          <w:color w:val="7A7A7A"/>
          <w:kern w:val="0"/>
          <w:sz w:val="29"/>
          <w:szCs w:val="29"/>
          <w:lang w:eastAsia="es-UY"/>
          <w14:ligatures w14:val="none"/>
        </w:rPr>
        <w:br/>
        <w:t>El resultado es la disolución de los derechos colectivos: el derecho a decidir el propio destino político, económico y cultural. Se impone un modelo de gobernanza alineado a los intereses imperiales, generando inestabilidad, guerras civiles y el saqueo de riquezas, dejando tras de sí Estados fallidos y poblaciones empobrecidas.</w:t>
      </w:r>
    </w:p>
    <w:p w14:paraId="23BB429C" w14:textId="77777777" w:rsidR="005B686B" w:rsidRPr="005B686B" w:rsidRDefault="005B686B" w:rsidP="005B686B">
      <w:pPr>
        <w:shd w:val="clear" w:color="auto" w:fill="FFFFFF"/>
        <w:spacing w:before="100" w:beforeAutospacing="1" w:after="100" w:afterAutospacing="1" w:line="240" w:lineRule="auto"/>
        <w:jc w:val="both"/>
        <w:rPr>
          <w:rFonts w:ascii="Arial" w:eastAsia="Times New Roman" w:hAnsi="Arial" w:cs="Arial"/>
          <w:color w:val="7A7A7A"/>
          <w:kern w:val="0"/>
          <w:sz w:val="29"/>
          <w:szCs w:val="29"/>
          <w:lang w:eastAsia="es-UY"/>
          <w14:ligatures w14:val="none"/>
        </w:rPr>
      </w:pPr>
      <w:r w:rsidRPr="005B686B">
        <w:rPr>
          <w:rFonts w:ascii="Arial" w:eastAsia="Times New Roman" w:hAnsi="Arial" w:cs="Arial"/>
          <w:b/>
          <w:bCs/>
          <w:color w:val="7A7A7A"/>
          <w:kern w:val="0"/>
          <w:sz w:val="29"/>
          <w:szCs w:val="29"/>
          <w:lang w:eastAsia="es-UY"/>
          <w14:ligatures w14:val="none"/>
        </w:rPr>
        <w:t>La</w:t>
      </w:r>
      <w:r w:rsidRPr="005B686B">
        <w:rPr>
          <w:rFonts w:ascii="Arial" w:eastAsia="Times New Roman" w:hAnsi="Arial" w:cs="Arial"/>
          <w:color w:val="7A7A7A"/>
          <w:kern w:val="0"/>
          <w:sz w:val="29"/>
          <w:szCs w:val="29"/>
          <w:lang w:eastAsia="es-UY"/>
          <w14:ligatures w14:val="none"/>
        </w:rPr>
        <w:t> </w:t>
      </w:r>
      <w:r w:rsidRPr="005B686B">
        <w:rPr>
          <w:rFonts w:ascii="Arial" w:eastAsia="Times New Roman" w:hAnsi="Arial" w:cs="Arial"/>
          <w:b/>
          <w:bCs/>
          <w:color w:val="7A7A7A"/>
          <w:kern w:val="0"/>
          <w:sz w:val="29"/>
          <w:szCs w:val="29"/>
          <w:lang w:eastAsia="es-UY"/>
          <w14:ligatures w14:val="none"/>
        </w:rPr>
        <w:t>Necesidad de un Nuevo Consenso desde el Sur Global</w:t>
      </w:r>
      <w:r w:rsidRPr="005B686B">
        <w:rPr>
          <w:rFonts w:ascii="Arial" w:eastAsia="Times New Roman" w:hAnsi="Arial" w:cs="Arial"/>
          <w:color w:val="7A7A7A"/>
          <w:kern w:val="0"/>
          <w:sz w:val="29"/>
          <w:szCs w:val="29"/>
          <w:lang w:eastAsia="es-UY"/>
          <w14:ligatures w14:val="none"/>
        </w:rPr>
        <w:br/>
        <w:t>Ante el fracaso del sistema tutelado por las potencias occidentales, es imperativo plantear la necesidad de fortalecer consensos globales desde el Sur global. Este movimiento debe ir más allá de la mera crítica, articulando nuevos contenidos y marcos de convivencia que respondan a las crisis de la humanidad y el planeta.</w:t>
      </w:r>
      <w:r w:rsidRPr="005B686B">
        <w:rPr>
          <w:rFonts w:ascii="Arial" w:eastAsia="Times New Roman" w:hAnsi="Arial" w:cs="Arial"/>
          <w:color w:val="7A7A7A"/>
          <w:kern w:val="0"/>
          <w:sz w:val="29"/>
          <w:szCs w:val="29"/>
          <w:lang w:eastAsia="es-UY"/>
          <w14:ligatures w14:val="none"/>
        </w:rPr>
        <w:br/>
        <w:t xml:space="preserve">El horizonte de los Buenos Vivires (o </w:t>
      </w:r>
      <w:proofErr w:type="spellStart"/>
      <w:r w:rsidRPr="005B686B">
        <w:rPr>
          <w:rFonts w:ascii="Arial" w:eastAsia="Times New Roman" w:hAnsi="Arial" w:cs="Arial"/>
          <w:color w:val="7A7A7A"/>
          <w:kern w:val="0"/>
          <w:sz w:val="29"/>
          <w:szCs w:val="29"/>
          <w:lang w:eastAsia="es-UY"/>
          <w14:ligatures w14:val="none"/>
        </w:rPr>
        <w:t>Sumak</w:t>
      </w:r>
      <w:proofErr w:type="spellEnd"/>
      <w:r w:rsidRPr="005B686B">
        <w:rPr>
          <w:rFonts w:ascii="Arial" w:eastAsia="Times New Roman" w:hAnsi="Arial" w:cs="Arial"/>
          <w:color w:val="7A7A7A"/>
          <w:kern w:val="0"/>
          <w:sz w:val="29"/>
          <w:szCs w:val="29"/>
          <w:lang w:eastAsia="es-UY"/>
          <w14:ligatures w14:val="none"/>
        </w:rPr>
        <w:t xml:space="preserve"> </w:t>
      </w:r>
      <w:proofErr w:type="spellStart"/>
      <w:r w:rsidRPr="005B686B">
        <w:rPr>
          <w:rFonts w:ascii="Arial" w:eastAsia="Times New Roman" w:hAnsi="Arial" w:cs="Arial"/>
          <w:color w:val="7A7A7A"/>
          <w:kern w:val="0"/>
          <w:sz w:val="29"/>
          <w:szCs w:val="29"/>
          <w:lang w:eastAsia="es-UY"/>
          <w14:ligatures w14:val="none"/>
        </w:rPr>
        <w:t>Kawsay</w:t>
      </w:r>
      <w:proofErr w:type="spellEnd"/>
      <w:r w:rsidRPr="005B686B">
        <w:rPr>
          <w:rFonts w:ascii="Arial" w:eastAsia="Times New Roman" w:hAnsi="Arial" w:cs="Arial"/>
          <w:color w:val="7A7A7A"/>
          <w:kern w:val="0"/>
          <w:sz w:val="29"/>
          <w:szCs w:val="29"/>
          <w:lang w:eastAsia="es-UY"/>
          <w14:ligatures w14:val="none"/>
        </w:rPr>
        <w:t>), surgido de las cosmovisiones indígenas de los Andes y la Amazonía, ofrece un marco conceptual disruptivo:</w:t>
      </w:r>
    </w:p>
    <w:p w14:paraId="61F7133E" w14:textId="77777777" w:rsidR="005B686B" w:rsidRPr="005B686B" w:rsidRDefault="005B686B" w:rsidP="005B686B">
      <w:pPr>
        <w:shd w:val="clear" w:color="auto" w:fill="FFFFFF"/>
        <w:spacing w:before="100" w:beforeAutospacing="1" w:after="100" w:afterAutospacing="1" w:line="240" w:lineRule="auto"/>
        <w:jc w:val="both"/>
        <w:rPr>
          <w:rFonts w:ascii="Arial" w:eastAsia="Times New Roman" w:hAnsi="Arial" w:cs="Arial"/>
          <w:color w:val="7A7A7A"/>
          <w:kern w:val="0"/>
          <w:sz w:val="29"/>
          <w:szCs w:val="29"/>
          <w:lang w:eastAsia="es-UY"/>
          <w14:ligatures w14:val="none"/>
        </w:rPr>
      </w:pPr>
      <w:r w:rsidRPr="005B686B">
        <w:rPr>
          <w:rFonts w:ascii="Arial" w:eastAsia="Times New Roman" w:hAnsi="Arial" w:cs="Arial"/>
          <w:color w:val="7A7A7A"/>
          <w:kern w:val="0"/>
          <w:sz w:val="29"/>
          <w:szCs w:val="29"/>
          <w:lang w:eastAsia="es-UY"/>
          <w14:ligatures w14:val="none"/>
        </w:rPr>
        <w:t>Derechos ecosistémicos: El reconocimiento de los Derechos de la Madre Tierra como sujeto de derechos, equilibrando la visión antropocéntrica que ha justificado el saqueo de los territorios.</w:t>
      </w:r>
    </w:p>
    <w:p w14:paraId="5EAA10AE" w14:textId="77777777" w:rsidR="005B686B" w:rsidRPr="005B686B" w:rsidRDefault="005B686B" w:rsidP="005B686B">
      <w:pPr>
        <w:shd w:val="clear" w:color="auto" w:fill="FFFFFF"/>
        <w:spacing w:before="100" w:beforeAutospacing="1" w:after="100" w:afterAutospacing="1" w:line="240" w:lineRule="auto"/>
        <w:jc w:val="both"/>
        <w:rPr>
          <w:rFonts w:ascii="Arial" w:eastAsia="Times New Roman" w:hAnsi="Arial" w:cs="Arial"/>
          <w:color w:val="7A7A7A"/>
          <w:kern w:val="0"/>
          <w:sz w:val="29"/>
          <w:szCs w:val="29"/>
          <w:lang w:eastAsia="es-UY"/>
          <w14:ligatures w14:val="none"/>
        </w:rPr>
      </w:pPr>
      <w:r w:rsidRPr="005B686B">
        <w:rPr>
          <w:rFonts w:ascii="Arial" w:eastAsia="Times New Roman" w:hAnsi="Arial" w:cs="Arial"/>
          <w:color w:val="7A7A7A"/>
          <w:kern w:val="0"/>
          <w:sz w:val="29"/>
          <w:szCs w:val="29"/>
          <w:lang w:eastAsia="es-UY"/>
          <w14:ligatures w14:val="none"/>
        </w:rPr>
        <w:t>Convivencia equilibrada: El Buen Vivir no se enfoca en el crecimiento ilimitado o la acumulación individual (el modelo de desarrollo occidental), sino en la vida plena, digna y en equilibrio con la comunidad y el entorno.</w:t>
      </w:r>
    </w:p>
    <w:p w14:paraId="18FA891E" w14:textId="77777777" w:rsidR="005B686B" w:rsidRDefault="005B686B" w:rsidP="005B686B">
      <w:pPr>
        <w:shd w:val="clear" w:color="auto" w:fill="FFFFFF"/>
        <w:spacing w:before="100" w:beforeAutospacing="1" w:after="100" w:afterAutospacing="1" w:line="240" w:lineRule="auto"/>
        <w:jc w:val="both"/>
        <w:rPr>
          <w:rFonts w:ascii="Arial" w:eastAsia="Times New Roman" w:hAnsi="Arial" w:cs="Arial"/>
          <w:color w:val="7A7A7A"/>
          <w:kern w:val="0"/>
          <w:sz w:val="29"/>
          <w:szCs w:val="29"/>
          <w:lang w:eastAsia="es-UY"/>
          <w14:ligatures w14:val="none"/>
        </w:rPr>
      </w:pPr>
      <w:r w:rsidRPr="005B686B">
        <w:rPr>
          <w:rFonts w:ascii="Arial" w:eastAsia="Times New Roman" w:hAnsi="Arial" w:cs="Arial"/>
          <w:color w:val="7A7A7A"/>
          <w:kern w:val="0"/>
          <w:sz w:val="29"/>
          <w:szCs w:val="29"/>
          <w:lang w:eastAsia="es-UY"/>
          <w14:ligatures w14:val="none"/>
        </w:rPr>
        <w:t>Soberanía y plurinacionalidad: Refuerza la autodeterminación de los pueblos desde una visión pluralista, donde la soberanía no se reduce al control territorial, sino a la autonomía cultural, económica y ecológica.</w:t>
      </w:r>
    </w:p>
    <w:p w14:paraId="3D4ED746" w14:textId="3944A1A8" w:rsidR="005B686B" w:rsidRPr="005B686B" w:rsidRDefault="005B686B" w:rsidP="005B686B">
      <w:pPr>
        <w:shd w:val="clear" w:color="auto" w:fill="FFFFFF"/>
        <w:spacing w:before="100" w:beforeAutospacing="1" w:after="100" w:afterAutospacing="1" w:line="240" w:lineRule="auto"/>
        <w:jc w:val="both"/>
        <w:rPr>
          <w:rFonts w:ascii="Arial" w:eastAsia="Times New Roman" w:hAnsi="Arial" w:cs="Arial"/>
          <w:color w:val="7A7A7A"/>
          <w:kern w:val="0"/>
          <w:sz w:val="29"/>
          <w:szCs w:val="29"/>
          <w:lang w:eastAsia="es-UY"/>
          <w14:ligatures w14:val="none"/>
        </w:rPr>
      </w:pPr>
      <w:r w:rsidRPr="005B686B">
        <w:rPr>
          <w:rFonts w:ascii="Arial" w:eastAsia="Times New Roman" w:hAnsi="Arial" w:cs="Arial"/>
          <w:color w:val="7A7A7A"/>
          <w:kern w:val="0"/>
          <w:sz w:val="29"/>
          <w:szCs w:val="29"/>
          <w:lang w:eastAsia="es-UY"/>
          <w14:ligatures w14:val="none"/>
        </w:rPr>
        <w:lastRenderedPageBreak/>
        <w:br/>
        <w:t xml:space="preserve">La resignificación o el rediseño de los Derechos Humanos pasa por esta </w:t>
      </w:r>
      <w:proofErr w:type="spellStart"/>
      <w:r w:rsidRPr="005B686B">
        <w:rPr>
          <w:rFonts w:ascii="Arial" w:eastAsia="Times New Roman" w:hAnsi="Arial" w:cs="Arial"/>
          <w:color w:val="7A7A7A"/>
          <w:kern w:val="0"/>
          <w:sz w:val="29"/>
          <w:szCs w:val="29"/>
          <w:lang w:eastAsia="es-UY"/>
          <w14:ligatures w14:val="none"/>
        </w:rPr>
        <w:t>desoccidentalización</w:t>
      </w:r>
      <w:proofErr w:type="spellEnd"/>
      <w:r w:rsidRPr="005B686B">
        <w:rPr>
          <w:rFonts w:ascii="Arial" w:eastAsia="Times New Roman" w:hAnsi="Arial" w:cs="Arial"/>
          <w:color w:val="7A7A7A"/>
          <w:kern w:val="0"/>
          <w:sz w:val="29"/>
          <w:szCs w:val="29"/>
          <w:lang w:eastAsia="es-UY"/>
          <w14:ligatures w14:val="none"/>
        </w:rPr>
        <w:t xml:space="preserve"> de su contenido, anclándola en la justicia ambiental y la equidad social como precondición para la paz, forjando un nuevo contrato ético para la supervivencia de la vida en el planeta.</w:t>
      </w:r>
    </w:p>
    <w:p w14:paraId="14A58022" w14:textId="77777777" w:rsidR="005B686B" w:rsidRPr="005B686B" w:rsidRDefault="005B686B" w:rsidP="005B686B">
      <w:pPr>
        <w:shd w:val="clear" w:color="auto" w:fill="FFFFFF"/>
        <w:spacing w:before="100" w:beforeAutospacing="1" w:after="100" w:afterAutospacing="1" w:line="240" w:lineRule="auto"/>
        <w:jc w:val="both"/>
        <w:rPr>
          <w:rFonts w:ascii="Arial" w:eastAsia="Times New Roman" w:hAnsi="Arial" w:cs="Arial"/>
          <w:color w:val="7A7A7A"/>
          <w:kern w:val="0"/>
          <w:sz w:val="29"/>
          <w:szCs w:val="29"/>
          <w:lang w:eastAsia="es-UY"/>
          <w14:ligatures w14:val="none"/>
        </w:rPr>
      </w:pPr>
      <w:r w:rsidRPr="005B686B">
        <w:rPr>
          <w:rFonts w:ascii="Arial" w:eastAsia="Times New Roman" w:hAnsi="Arial" w:cs="Arial"/>
          <w:color w:val="7A7A7A"/>
          <w:kern w:val="0"/>
          <w:sz w:val="29"/>
          <w:szCs w:val="29"/>
          <w:lang w:eastAsia="es-UY"/>
          <w14:ligatures w14:val="none"/>
        </w:rPr>
        <w:t>Fuente: </w:t>
      </w:r>
      <w:hyperlink r:id="rId7" w:history="1">
        <w:r w:rsidRPr="005B686B">
          <w:rPr>
            <w:rFonts w:ascii="Arial" w:eastAsia="Times New Roman" w:hAnsi="Arial" w:cs="Arial"/>
            <w:color w:val="000000"/>
            <w:kern w:val="0"/>
            <w:sz w:val="29"/>
            <w:szCs w:val="29"/>
            <w:u w:val="single"/>
            <w:lang w:eastAsia="es-UY"/>
            <w14:ligatures w14:val="none"/>
          </w:rPr>
          <w:t>ollantayitzamna.com</w:t>
        </w:r>
      </w:hyperlink>
    </w:p>
    <w:p w14:paraId="3380773C" w14:textId="75DBBC1F" w:rsidR="00926044" w:rsidRDefault="005B686B">
      <w:hyperlink r:id="rId8" w:history="1">
        <w:r w:rsidRPr="007966E5">
          <w:rPr>
            <w:rStyle w:val="Hipervnculo"/>
          </w:rPr>
          <w:t>https://abyayalasoberana.org/noticias/internacionales/la-carta-rota-derechos-humanos-a-77-anos-de-la-declaracion-universal/?fbclid=IwY2xjawOmly9leHRuA2FlbQIxMQBzcnRjBmFwcF9pZBAyMjIwMzkxNzg4MjAwODkyAAEeJla9OUvJyXeAa6rCjGHUq7K_2OVqGqwA-UrORzy65M6vUYYZj1MFir-wFjY_aem_2vxahiM2Cf1oXt19OMzKWg</w:t>
        </w:r>
      </w:hyperlink>
    </w:p>
    <w:p w14:paraId="5BD599CD" w14:textId="77777777" w:rsidR="005B686B" w:rsidRDefault="005B686B"/>
    <w:sectPr w:rsidR="005B68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6B"/>
    <w:rsid w:val="005B686B"/>
    <w:rsid w:val="008D5C7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2777"/>
  <w15:chartTrackingRefBased/>
  <w15:docId w15:val="{ECB65D16-DCC8-452A-BC78-1110501B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6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6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68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68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68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68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68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68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68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68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68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68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68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68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68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68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68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686B"/>
    <w:rPr>
      <w:rFonts w:eastAsiaTheme="majorEastAsia" w:cstheme="majorBidi"/>
      <w:color w:val="272727" w:themeColor="text1" w:themeTint="D8"/>
    </w:rPr>
  </w:style>
  <w:style w:type="paragraph" w:styleId="Ttulo">
    <w:name w:val="Title"/>
    <w:basedOn w:val="Normal"/>
    <w:next w:val="Normal"/>
    <w:link w:val="TtuloCar"/>
    <w:uiPriority w:val="10"/>
    <w:qFormat/>
    <w:rsid w:val="005B6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68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68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68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686B"/>
    <w:pPr>
      <w:spacing w:before="160"/>
      <w:jc w:val="center"/>
    </w:pPr>
    <w:rPr>
      <w:i/>
      <w:iCs/>
      <w:color w:val="404040" w:themeColor="text1" w:themeTint="BF"/>
    </w:rPr>
  </w:style>
  <w:style w:type="character" w:customStyle="1" w:styleId="CitaCar">
    <w:name w:val="Cita Car"/>
    <w:basedOn w:val="Fuentedeprrafopredeter"/>
    <w:link w:val="Cita"/>
    <w:uiPriority w:val="29"/>
    <w:rsid w:val="005B686B"/>
    <w:rPr>
      <w:i/>
      <w:iCs/>
      <w:color w:val="404040" w:themeColor="text1" w:themeTint="BF"/>
    </w:rPr>
  </w:style>
  <w:style w:type="paragraph" w:styleId="Prrafodelista">
    <w:name w:val="List Paragraph"/>
    <w:basedOn w:val="Normal"/>
    <w:uiPriority w:val="34"/>
    <w:qFormat/>
    <w:rsid w:val="005B686B"/>
    <w:pPr>
      <w:ind w:left="720"/>
      <w:contextualSpacing/>
    </w:pPr>
  </w:style>
  <w:style w:type="character" w:styleId="nfasisintenso">
    <w:name w:val="Intense Emphasis"/>
    <w:basedOn w:val="Fuentedeprrafopredeter"/>
    <w:uiPriority w:val="21"/>
    <w:qFormat/>
    <w:rsid w:val="005B686B"/>
    <w:rPr>
      <w:i/>
      <w:iCs/>
      <w:color w:val="0F4761" w:themeColor="accent1" w:themeShade="BF"/>
    </w:rPr>
  </w:style>
  <w:style w:type="paragraph" w:styleId="Citadestacada">
    <w:name w:val="Intense Quote"/>
    <w:basedOn w:val="Normal"/>
    <w:next w:val="Normal"/>
    <w:link w:val="CitadestacadaCar"/>
    <w:uiPriority w:val="30"/>
    <w:qFormat/>
    <w:rsid w:val="005B6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686B"/>
    <w:rPr>
      <w:i/>
      <w:iCs/>
      <w:color w:val="0F4761" w:themeColor="accent1" w:themeShade="BF"/>
    </w:rPr>
  </w:style>
  <w:style w:type="character" w:styleId="Referenciaintensa">
    <w:name w:val="Intense Reference"/>
    <w:basedOn w:val="Fuentedeprrafopredeter"/>
    <w:uiPriority w:val="32"/>
    <w:qFormat/>
    <w:rsid w:val="005B686B"/>
    <w:rPr>
      <w:b/>
      <w:bCs/>
      <w:smallCaps/>
      <w:color w:val="0F4761" w:themeColor="accent1" w:themeShade="BF"/>
      <w:spacing w:val="5"/>
    </w:rPr>
  </w:style>
  <w:style w:type="character" w:styleId="Hipervnculo">
    <w:name w:val="Hyperlink"/>
    <w:basedOn w:val="Fuentedeprrafopredeter"/>
    <w:uiPriority w:val="99"/>
    <w:unhideWhenUsed/>
    <w:rsid w:val="005B686B"/>
    <w:rPr>
      <w:color w:val="467886" w:themeColor="hyperlink"/>
      <w:u w:val="single"/>
    </w:rPr>
  </w:style>
  <w:style w:type="character" w:styleId="Mencinsinresolver">
    <w:name w:val="Unresolved Mention"/>
    <w:basedOn w:val="Fuentedeprrafopredeter"/>
    <w:uiPriority w:val="99"/>
    <w:semiHidden/>
    <w:unhideWhenUsed/>
    <w:rsid w:val="005B6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yayalasoberana.org/noticias/internacionales/la-carta-rota-derechos-humanos-a-77-anos-de-la-declaracion-universal/?fbclid=IwY2xjawOmly9leHRuA2FlbQIxMQBzcnRjBmFwcF9pZBAyMjIwMzkxNzg4MjAwODkyAAEeJla9OUvJyXeAa6rCjGHUq7K_2OVqGqwA-UrORzy65M6vUYYZj1MFir-wFjY_aem_2vxahiM2Cf1oXt19OMzKWg" TargetMode="External"/><Relationship Id="rId3" Type="http://schemas.openxmlformats.org/officeDocument/2006/relationships/webSettings" Target="webSettings.xml"/><Relationship Id="rId7" Type="http://schemas.openxmlformats.org/officeDocument/2006/relationships/hyperlink" Target="https://ollantayitzamna.com/?p=71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abyayalasoberana.org/noticias/internacionales/gobierno-de-milei-en-ofensiva-contra-entidades-de-derechos-humanos/"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4933</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2025-12-10T21:25:00Z</dcterms:created>
  <dcterms:modified xsi:type="dcterms:W3CDTF">2025-12-10T21:26:00Z</dcterms:modified>
</cp:coreProperties>
</file>