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3893" w14:textId="77777777" w:rsidR="00CF043B" w:rsidRPr="00CF043B" w:rsidRDefault="00CF043B" w:rsidP="00CF043B">
      <w:pPr>
        <w:shd w:val="clear" w:color="auto" w:fill="FFFFFF"/>
        <w:spacing w:before="240" w:after="240" w:line="240" w:lineRule="auto"/>
        <w:outlineLvl w:val="0"/>
        <w:rPr>
          <w:rFonts w:ascii="Arial" w:eastAsia="Times New Roman" w:hAnsi="Arial" w:cs="Arial"/>
          <w:b/>
          <w:bCs/>
          <w:color w:val="222222"/>
          <w:kern w:val="36"/>
          <w:sz w:val="48"/>
          <w:szCs w:val="48"/>
          <w:lang w:eastAsia="es-UY"/>
          <w14:ligatures w14:val="none"/>
        </w:rPr>
      </w:pPr>
      <w:r w:rsidRPr="00CF043B">
        <w:rPr>
          <w:rFonts w:ascii="Arial" w:eastAsia="Times New Roman" w:hAnsi="Arial" w:cs="Arial"/>
          <w:b/>
          <w:bCs/>
          <w:color w:val="000000"/>
          <w:kern w:val="36"/>
          <w:sz w:val="46"/>
          <w:szCs w:val="46"/>
          <w:lang w:eastAsia="es-UY"/>
          <w14:ligatures w14:val="none"/>
        </w:rPr>
        <w:t>Finalmente llega el veto europeo al gas ruso, acelerando hacia la autonomía energética</w:t>
      </w:r>
    </w:p>
    <w:p w14:paraId="163C04F2"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Tras años de debate y presiones internas, la Unión Europea ha fijado como objetivo poner </w:t>
      </w:r>
      <w:r w:rsidRPr="00CF043B">
        <w:rPr>
          <w:rFonts w:ascii="Arial" w:eastAsia="Times New Roman" w:hAnsi="Arial" w:cs="Arial"/>
          <w:b/>
          <w:bCs/>
          <w:color w:val="000000"/>
          <w:kern w:val="0"/>
          <w:lang w:eastAsia="es-UY"/>
          <w14:ligatures w14:val="none"/>
        </w:rPr>
        <w:t>fin a las importaciones de gas ruso antes del último trimestre de 2027</w:t>
      </w:r>
      <w:r w:rsidRPr="00CF043B">
        <w:rPr>
          <w:rFonts w:ascii="Arial" w:eastAsia="Times New Roman" w:hAnsi="Arial" w:cs="Arial"/>
          <w:color w:val="000000"/>
          <w:kern w:val="0"/>
          <w:lang w:eastAsia="es-UY"/>
          <w14:ligatures w14:val="none"/>
        </w:rPr>
        <w:t>, un compromiso que consolida su estrategia de desvinculación energética de Rusia y refuerza su apuesta por una </w:t>
      </w:r>
      <w:r w:rsidRPr="00CF043B">
        <w:rPr>
          <w:rFonts w:ascii="Arial" w:eastAsia="Times New Roman" w:hAnsi="Arial" w:cs="Arial"/>
          <w:b/>
          <w:bCs/>
          <w:color w:val="000000"/>
          <w:kern w:val="0"/>
          <w:lang w:eastAsia="es-UY"/>
          <w14:ligatures w14:val="none"/>
        </w:rPr>
        <w:t>mayor autonomía estratégica.</w:t>
      </w:r>
    </w:p>
    <w:p w14:paraId="17966B78"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 xml:space="preserve">El acuerdo fue anunciado en Bruselas el 3 de diciembre por la presidenta de la Comisión Europea, Ursula </w:t>
      </w:r>
      <w:proofErr w:type="spellStart"/>
      <w:r w:rsidRPr="00CF043B">
        <w:rPr>
          <w:rFonts w:ascii="Arial" w:eastAsia="Times New Roman" w:hAnsi="Arial" w:cs="Arial"/>
          <w:color w:val="000000"/>
          <w:kern w:val="0"/>
          <w:lang w:eastAsia="es-UY"/>
          <w14:ligatures w14:val="none"/>
        </w:rPr>
        <w:t>von</w:t>
      </w:r>
      <w:proofErr w:type="spellEnd"/>
      <w:r w:rsidRPr="00CF043B">
        <w:rPr>
          <w:rFonts w:ascii="Arial" w:eastAsia="Times New Roman" w:hAnsi="Arial" w:cs="Arial"/>
          <w:color w:val="000000"/>
          <w:kern w:val="0"/>
          <w:lang w:eastAsia="es-UY"/>
          <w14:ligatures w14:val="none"/>
        </w:rPr>
        <w:t xml:space="preserve"> </w:t>
      </w:r>
      <w:proofErr w:type="spellStart"/>
      <w:r w:rsidRPr="00CF043B">
        <w:rPr>
          <w:rFonts w:ascii="Arial" w:eastAsia="Times New Roman" w:hAnsi="Arial" w:cs="Arial"/>
          <w:color w:val="000000"/>
          <w:kern w:val="0"/>
          <w:lang w:eastAsia="es-UY"/>
          <w14:ligatures w14:val="none"/>
        </w:rPr>
        <w:t>der</w:t>
      </w:r>
      <w:proofErr w:type="spellEnd"/>
      <w:r w:rsidRPr="00CF043B">
        <w:rPr>
          <w:rFonts w:ascii="Arial" w:eastAsia="Times New Roman" w:hAnsi="Arial" w:cs="Arial"/>
          <w:color w:val="000000"/>
          <w:kern w:val="0"/>
          <w:lang w:eastAsia="es-UY"/>
          <w14:ligatures w14:val="none"/>
        </w:rPr>
        <w:t xml:space="preserve"> </w:t>
      </w:r>
      <w:proofErr w:type="spellStart"/>
      <w:r w:rsidRPr="00CF043B">
        <w:rPr>
          <w:rFonts w:ascii="Arial" w:eastAsia="Times New Roman" w:hAnsi="Arial" w:cs="Arial"/>
          <w:color w:val="000000"/>
          <w:kern w:val="0"/>
          <w:lang w:eastAsia="es-UY"/>
          <w14:ligatures w14:val="none"/>
        </w:rPr>
        <w:t>Leyen</w:t>
      </w:r>
      <w:proofErr w:type="spellEnd"/>
      <w:r w:rsidRPr="00CF043B">
        <w:rPr>
          <w:rFonts w:ascii="Arial" w:eastAsia="Times New Roman" w:hAnsi="Arial" w:cs="Arial"/>
          <w:color w:val="000000"/>
          <w:kern w:val="0"/>
          <w:lang w:eastAsia="es-UY"/>
          <w14:ligatures w14:val="none"/>
        </w:rPr>
        <w:t>, junto al comisario europeo de Energía, Dan Jørgensen. La iniciativa se presenta como una respuesta directa al uso del suministro energético como </w:t>
      </w:r>
      <w:r w:rsidRPr="00CF043B">
        <w:rPr>
          <w:rFonts w:ascii="Arial" w:eastAsia="Times New Roman" w:hAnsi="Arial" w:cs="Arial"/>
          <w:b/>
          <w:bCs/>
          <w:color w:val="000000"/>
          <w:kern w:val="0"/>
          <w:lang w:eastAsia="es-UY"/>
          <w14:ligatures w14:val="none"/>
        </w:rPr>
        <w:t>herramienta de presión</w:t>
      </w:r>
      <w:r w:rsidRPr="00CF043B">
        <w:rPr>
          <w:rFonts w:ascii="Arial" w:eastAsia="Times New Roman" w:hAnsi="Arial" w:cs="Arial"/>
          <w:color w:val="000000"/>
          <w:kern w:val="0"/>
          <w:lang w:eastAsia="es-UY"/>
          <w14:ligatures w14:val="none"/>
        </w:rPr>
        <w:t> por parte de Moscú y vuelve a situar en el centro del debate europeo cuestiones como la dependencia y soberanía económica en un momento clave para la política europea. </w:t>
      </w:r>
    </w:p>
    <w:p w14:paraId="00A58CE0" w14:textId="77777777" w:rsidR="00CF043B" w:rsidRPr="00CF043B" w:rsidRDefault="00CF043B" w:rsidP="00CF043B">
      <w:pPr>
        <w:shd w:val="clear" w:color="auto" w:fill="FFFFFF"/>
        <w:spacing w:before="360" w:after="80" w:line="240" w:lineRule="auto"/>
        <w:outlineLvl w:val="1"/>
        <w:rPr>
          <w:rFonts w:ascii="Arial" w:eastAsia="Times New Roman" w:hAnsi="Arial" w:cs="Arial"/>
          <w:b/>
          <w:bCs/>
          <w:color w:val="222222"/>
          <w:kern w:val="0"/>
          <w:sz w:val="36"/>
          <w:szCs w:val="36"/>
          <w:lang w:eastAsia="es-UY"/>
          <w14:ligatures w14:val="none"/>
        </w:rPr>
      </w:pPr>
      <w:r w:rsidRPr="00CF043B">
        <w:rPr>
          <w:rFonts w:ascii="Arial" w:eastAsia="Times New Roman" w:hAnsi="Arial" w:cs="Arial"/>
          <w:b/>
          <w:bCs/>
          <w:color w:val="000000"/>
          <w:kern w:val="0"/>
          <w:sz w:val="34"/>
          <w:szCs w:val="34"/>
          <w:lang w:eastAsia="es-UY"/>
          <w14:ligatures w14:val="none"/>
        </w:rPr>
        <w:t>El veto energético que redefine la relación entre Bruselas y Moscú</w:t>
      </w:r>
    </w:p>
    <w:p w14:paraId="6A1A1C47"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La prohibición de las importaciones de gas ruso para finales de 2027 constituye uno de los </w:t>
      </w:r>
      <w:r w:rsidRPr="00CF043B">
        <w:rPr>
          <w:rFonts w:ascii="Arial" w:eastAsia="Times New Roman" w:hAnsi="Arial" w:cs="Arial"/>
          <w:b/>
          <w:bCs/>
          <w:color w:val="000000"/>
          <w:kern w:val="0"/>
          <w:lang w:eastAsia="es-UY"/>
          <w14:ligatures w14:val="none"/>
        </w:rPr>
        <w:t>movimientos más decisivos de la política energética europea</w:t>
      </w:r>
      <w:r w:rsidRPr="00CF043B">
        <w:rPr>
          <w:rFonts w:ascii="Arial" w:eastAsia="Times New Roman" w:hAnsi="Arial" w:cs="Arial"/>
          <w:color w:val="000000"/>
          <w:kern w:val="0"/>
          <w:lang w:eastAsia="es-UY"/>
          <w14:ligatures w14:val="none"/>
        </w:rPr>
        <w:t> desde el inicio de la guerra en Ucrania. Impulsada por la Comisión Europea, la medida busca cerrar una dependencia que Bruselas considera </w:t>
      </w:r>
      <w:r w:rsidRPr="00CF043B">
        <w:rPr>
          <w:rFonts w:ascii="Arial" w:eastAsia="Times New Roman" w:hAnsi="Arial" w:cs="Arial"/>
          <w:b/>
          <w:bCs/>
          <w:color w:val="000000"/>
          <w:kern w:val="0"/>
          <w:lang w:eastAsia="es-UY"/>
          <w14:ligatures w14:val="none"/>
        </w:rPr>
        <w:t>incompatible con sus objetivos estratégicos</w:t>
      </w:r>
      <w:r w:rsidRPr="00CF043B">
        <w:rPr>
          <w:rFonts w:ascii="Arial" w:eastAsia="Times New Roman" w:hAnsi="Arial" w:cs="Arial"/>
          <w:color w:val="000000"/>
          <w:kern w:val="0"/>
          <w:lang w:eastAsia="es-UY"/>
          <w14:ligatures w14:val="none"/>
        </w:rPr>
        <w:t> y con la coherencia del régimen de sanciones.</w:t>
      </w:r>
    </w:p>
    <w:p w14:paraId="06BBC4C3"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El plan establece un </w:t>
      </w:r>
      <w:r w:rsidRPr="00CF043B">
        <w:rPr>
          <w:rFonts w:ascii="Arial" w:eastAsia="Times New Roman" w:hAnsi="Arial" w:cs="Arial"/>
          <w:b/>
          <w:bCs/>
          <w:color w:val="000000"/>
          <w:kern w:val="0"/>
          <w:lang w:eastAsia="es-UY"/>
          <w14:ligatures w14:val="none"/>
        </w:rPr>
        <w:t>calendario progresivo</w:t>
      </w:r>
      <w:r w:rsidRPr="00CF043B">
        <w:rPr>
          <w:rFonts w:ascii="Arial" w:eastAsia="Times New Roman" w:hAnsi="Arial" w:cs="Arial"/>
          <w:color w:val="000000"/>
          <w:kern w:val="0"/>
          <w:lang w:eastAsia="es-UY"/>
          <w14:ligatures w14:val="none"/>
        </w:rPr>
        <w:t> que abarca tanto el gas transportado por gasoducto como el gas natural licuado. Según lo acordado por los Estados miembros, a más tardar en </w:t>
      </w:r>
      <w:r w:rsidRPr="00CF043B">
        <w:rPr>
          <w:rFonts w:ascii="Arial" w:eastAsia="Times New Roman" w:hAnsi="Arial" w:cs="Arial"/>
          <w:b/>
          <w:bCs/>
          <w:color w:val="000000"/>
          <w:kern w:val="0"/>
          <w:lang w:eastAsia="es-UY"/>
          <w14:ligatures w14:val="none"/>
        </w:rPr>
        <w:t>septiembre de 2027</w:t>
      </w:r>
      <w:r w:rsidRPr="00CF043B">
        <w:rPr>
          <w:rFonts w:ascii="Arial" w:eastAsia="Times New Roman" w:hAnsi="Arial" w:cs="Arial"/>
          <w:color w:val="000000"/>
          <w:kern w:val="0"/>
          <w:lang w:eastAsia="es-UY"/>
          <w14:ligatures w14:val="none"/>
        </w:rPr>
        <w:t> </w:t>
      </w:r>
      <w:r w:rsidRPr="00CF043B">
        <w:rPr>
          <w:rFonts w:ascii="Arial" w:eastAsia="Times New Roman" w:hAnsi="Arial" w:cs="Arial"/>
          <w:b/>
          <w:bCs/>
          <w:color w:val="000000"/>
          <w:kern w:val="0"/>
          <w:lang w:eastAsia="es-UY"/>
          <w14:ligatures w14:val="none"/>
        </w:rPr>
        <w:t>no deberán existir contratos activos con proveedores rusos.</w:t>
      </w:r>
      <w:r w:rsidRPr="00CF043B">
        <w:rPr>
          <w:rFonts w:ascii="Arial" w:eastAsia="Times New Roman" w:hAnsi="Arial" w:cs="Arial"/>
          <w:color w:val="000000"/>
          <w:kern w:val="0"/>
          <w:lang w:eastAsia="es-UY"/>
          <w14:ligatures w14:val="none"/>
        </w:rPr>
        <w:t> Esta hoja de ruta se complementa con el compromiso de eliminar también las compras de petróleo ruso antes de 2028, respaldado por varios gobiernos en el Consejo de la UE.</w:t>
      </w:r>
    </w:p>
    <w:p w14:paraId="6C781A2B"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El proceso no ha estado exento de fricciones. Mientras países de Europa central y oriental reclamaron más tiempo para adaptarse, otros, como los Estados bálticos, presionan para acelerar el corte. El consenso alcanzado fija un rumbo político común, aunque deja abiertas incógnitas sobre su implementación y su impacto en los mercados nacionales, condicionados por la necesidad de </w:t>
      </w:r>
      <w:hyperlink r:id="rId5" w:tgtFrame="_blank" w:history="1">
        <w:r w:rsidRPr="00CF043B">
          <w:rPr>
            <w:rFonts w:ascii="Arial" w:eastAsia="Times New Roman" w:hAnsi="Arial" w:cs="Arial"/>
            <w:color w:val="1155CC"/>
            <w:kern w:val="0"/>
            <w:u w:val="single"/>
            <w:lang w:eastAsia="es-UY"/>
            <w14:ligatures w14:val="none"/>
          </w:rPr>
          <w:t>comparar ofertas</w:t>
        </w:r>
      </w:hyperlink>
      <w:r w:rsidRPr="00CF043B">
        <w:rPr>
          <w:rFonts w:ascii="Arial" w:eastAsia="Times New Roman" w:hAnsi="Arial" w:cs="Arial"/>
          <w:color w:val="000000"/>
          <w:kern w:val="0"/>
          <w:lang w:eastAsia="es-UY"/>
          <w14:ligatures w14:val="none"/>
        </w:rPr>
        <w:t> que se ajusten a necesidades cada vez más demandantes en un entorno energético en constante transformación.</w:t>
      </w:r>
    </w:p>
    <w:p w14:paraId="5690DFB4" w14:textId="77777777" w:rsidR="00CF043B" w:rsidRPr="00CF043B" w:rsidRDefault="00CF043B" w:rsidP="00CF043B">
      <w:pPr>
        <w:shd w:val="clear" w:color="auto" w:fill="FFFFFF"/>
        <w:spacing w:before="360" w:after="80" w:line="240" w:lineRule="auto"/>
        <w:outlineLvl w:val="1"/>
        <w:rPr>
          <w:rFonts w:ascii="Arial" w:eastAsia="Times New Roman" w:hAnsi="Arial" w:cs="Arial"/>
          <w:b/>
          <w:bCs/>
          <w:color w:val="222222"/>
          <w:kern w:val="0"/>
          <w:sz w:val="36"/>
          <w:szCs w:val="36"/>
          <w:lang w:eastAsia="es-UY"/>
          <w14:ligatures w14:val="none"/>
        </w:rPr>
      </w:pPr>
      <w:r w:rsidRPr="00CF043B">
        <w:rPr>
          <w:rFonts w:ascii="Arial" w:eastAsia="Times New Roman" w:hAnsi="Arial" w:cs="Arial"/>
          <w:b/>
          <w:bCs/>
          <w:color w:val="000000"/>
          <w:kern w:val="0"/>
          <w:sz w:val="34"/>
          <w:szCs w:val="34"/>
          <w:lang w:eastAsia="es-UY"/>
          <w14:ligatures w14:val="none"/>
        </w:rPr>
        <w:t>Divisiones internas y temores económicos dentro de la Unión Europea</w:t>
      </w:r>
    </w:p>
    <w:p w14:paraId="0EE2CE71"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Pese a su alcance estratégico, </w:t>
      </w:r>
      <w:r w:rsidRPr="00CF043B">
        <w:rPr>
          <w:rFonts w:ascii="Arial" w:eastAsia="Times New Roman" w:hAnsi="Arial" w:cs="Arial"/>
          <w:b/>
          <w:bCs/>
          <w:color w:val="000000"/>
          <w:kern w:val="0"/>
          <w:lang w:eastAsia="es-UY"/>
          <w14:ligatures w14:val="none"/>
        </w:rPr>
        <w:t>la prohibición del gas ruso</w:t>
      </w:r>
      <w:r w:rsidRPr="00CF043B">
        <w:rPr>
          <w:rFonts w:ascii="Arial" w:eastAsia="Times New Roman" w:hAnsi="Arial" w:cs="Arial"/>
          <w:color w:val="000000"/>
          <w:kern w:val="0"/>
          <w:lang w:eastAsia="es-UY"/>
          <w14:ligatures w14:val="none"/>
        </w:rPr>
        <w:t> </w:t>
      </w:r>
      <w:r w:rsidRPr="00CF043B">
        <w:rPr>
          <w:rFonts w:ascii="Arial" w:eastAsia="Times New Roman" w:hAnsi="Arial" w:cs="Arial"/>
          <w:b/>
          <w:bCs/>
          <w:color w:val="000000"/>
          <w:kern w:val="0"/>
          <w:lang w:eastAsia="es-UY"/>
          <w14:ligatures w14:val="none"/>
        </w:rPr>
        <w:t>ha puesto de manifiesto las diferencias estructurales dentro de la Unión Europea.</w:t>
      </w:r>
      <w:r w:rsidRPr="00CF043B">
        <w:rPr>
          <w:rFonts w:ascii="Arial" w:eastAsia="Times New Roman" w:hAnsi="Arial" w:cs="Arial"/>
          <w:color w:val="000000"/>
          <w:kern w:val="0"/>
          <w:lang w:eastAsia="es-UY"/>
          <w14:ligatures w14:val="none"/>
        </w:rPr>
        <w:t> Estados con una elevada dependencia histórica de Rusia han advertido del riesgo de inflación energética y de pérdida de competitividad industrial, en un contexto marcado por la evolución desigual del </w:t>
      </w:r>
      <w:hyperlink r:id="rId6" w:tgtFrame="_blank" w:history="1">
        <w:r w:rsidRPr="00CF043B">
          <w:rPr>
            <w:rFonts w:ascii="Arial" w:eastAsia="Times New Roman" w:hAnsi="Arial" w:cs="Arial"/>
            <w:color w:val="1155CC"/>
            <w:kern w:val="0"/>
            <w:u w:val="single"/>
            <w:lang w:eastAsia="es-UY"/>
            <w14:ligatures w14:val="none"/>
          </w:rPr>
          <w:t>precio del gas natural</w:t>
        </w:r>
      </w:hyperlink>
      <w:hyperlink r:id="rId7" w:tgtFrame="_blank" w:history="1">
        <w:r w:rsidRPr="00CF043B">
          <w:rPr>
            <w:rFonts w:ascii="Arial" w:eastAsia="Times New Roman" w:hAnsi="Arial" w:cs="Arial"/>
            <w:color w:val="000000"/>
            <w:kern w:val="0"/>
            <w:u w:val="single"/>
            <w:lang w:eastAsia="es-UY"/>
            <w14:ligatures w14:val="none"/>
          </w:rPr>
          <w:t> </w:t>
        </w:r>
      </w:hyperlink>
      <w:r w:rsidRPr="00CF043B">
        <w:rPr>
          <w:rFonts w:ascii="Arial" w:eastAsia="Times New Roman" w:hAnsi="Arial" w:cs="Arial"/>
          <w:color w:val="000000"/>
          <w:kern w:val="0"/>
          <w:lang w:eastAsia="es-UY"/>
          <w14:ligatures w14:val="none"/>
        </w:rPr>
        <w:t>entre países.</w:t>
      </w:r>
    </w:p>
    <w:p w14:paraId="2E16748F"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lastRenderedPageBreak/>
        <w:t>Ante este escenario, varios gobiernos han reclamado </w:t>
      </w:r>
      <w:r w:rsidRPr="00CF043B">
        <w:rPr>
          <w:rFonts w:ascii="Arial" w:eastAsia="Times New Roman" w:hAnsi="Arial" w:cs="Arial"/>
          <w:b/>
          <w:bCs/>
          <w:color w:val="000000"/>
          <w:kern w:val="0"/>
          <w:lang w:eastAsia="es-UY"/>
          <w14:ligatures w14:val="none"/>
        </w:rPr>
        <w:t>mecanismos de compensación y mayor flexibilidad durante la transición.</w:t>
      </w:r>
      <w:r w:rsidRPr="00CF043B">
        <w:rPr>
          <w:rFonts w:ascii="Arial" w:eastAsia="Times New Roman" w:hAnsi="Arial" w:cs="Arial"/>
          <w:color w:val="000000"/>
          <w:kern w:val="0"/>
          <w:lang w:eastAsia="es-UY"/>
          <w14:ligatures w14:val="none"/>
        </w:rPr>
        <w:t> El temor a un aumento sostenido de los costes energéticos persiste, especialmente en sectores intensivos en consumo. Desde Bruselas se insiste en que la </w:t>
      </w:r>
      <w:r w:rsidRPr="00CF043B">
        <w:rPr>
          <w:rFonts w:ascii="Arial" w:eastAsia="Times New Roman" w:hAnsi="Arial" w:cs="Arial"/>
          <w:b/>
          <w:bCs/>
          <w:color w:val="000000"/>
          <w:kern w:val="0"/>
          <w:lang w:eastAsia="es-UY"/>
          <w14:ligatures w14:val="none"/>
        </w:rPr>
        <w:t>diversificación de proveedores</w:t>
      </w:r>
      <w:r w:rsidRPr="00CF043B">
        <w:rPr>
          <w:rFonts w:ascii="Arial" w:eastAsia="Times New Roman" w:hAnsi="Arial" w:cs="Arial"/>
          <w:color w:val="000000"/>
          <w:kern w:val="0"/>
          <w:lang w:eastAsia="es-UY"/>
          <w14:ligatures w14:val="none"/>
        </w:rPr>
        <w:t> y el impulso a las </w:t>
      </w:r>
      <w:r w:rsidRPr="00CF043B">
        <w:rPr>
          <w:rFonts w:ascii="Arial" w:eastAsia="Times New Roman" w:hAnsi="Arial" w:cs="Arial"/>
          <w:b/>
          <w:bCs/>
          <w:color w:val="000000"/>
          <w:kern w:val="0"/>
          <w:lang w:eastAsia="es-UY"/>
          <w14:ligatures w14:val="none"/>
        </w:rPr>
        <w:t>energías renovables</w:t>
      </w:r>
      <w:r w:rsidRPr="00CF043B">
        <w:rPr>
          <w:rFonts w:ascii="Arial" w:eastAsia="Times New Roman" w:hAnsi="Arial" w:cs="Arial"/>
          <w:color w:val="000000"/>
          <w:kern w:val="0"/>
          <w:lang w:eastAsia="es-UY"/>
          <w14:ligatures w14:val="none"/>
        </w:rPr>
        <w:t> </w:t>
      </w:r>
      <w:r w:rsidRPr="00CF043B">
        <w:rPr>
          <w:rFonts w:ascii="Arial" w:eastAsia="Times New Roman" w:hAnsi="Arial" w:cs="Arial"/>
          <w:b/>
          <w:bCs/>
          <w:color w:val="000000"/>
          <w:kern w:val="0"/>
          <w:lang w:eastAsia="es-UY"/>
          <w14:ligatures w14:val="none"/>
        </w:rPr>
        <w:t>permitirán amortiguar el impacto,</w:t>
      </w:r>
      <w:r w:rsidRPr="00CF043B">
        <w:rPr>
          <w:rFonts w:ascii="Arial" w:eastAsia="Times New Roman" w:hAnsi="Arial" w:cs="Arial"/>
          <w:color w:val="000000"/>
          <w:kern w:val="0"/>
          <w:lang w:eastAsia="es-UY"/>
          <w14:ligatures w14:val="none"/>
        </w:rPr>
        <w:t> aunque se reconoce que el corto plazo estará marcado por ajustes y tensiones.</w:t>
      </w:r>
    </w:p>
    <w:p w14:paraId="2E824B92"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Así mismo, las autoridades nacionales y comunitarias han alertado del incremento de </w:t>
      </w:r>
      <w:hyperlink r:id="rId8" w:tgtFrame="_blank" w:history="1">
        <w:r w:rsidRPr="00CF043B">
          <w:rPr>
            <w:rFonts w:ascii="Arial" w:eastAsia="Times New Roman" w:hAnsi="Arial" w:cs="Arial"/>
            <w:color w:val="1155CC"/>
            <w:kern w:val="0"/>
            <w:u w:val="single"/>
            <w:lang w:eastAsia="es-UY"/>
            <w14:ligatures w14:val="none"/>
          </w:rPr>
          <w:t>estafas de luz y gas</w:t>
        </w:r>
      </w:hyperlink>
      <w:hyperlink r:id="rId9" w:tgtFrame="_blank" w:history="1">
        <w:r w:rsidRPr="00CF043B">
          <w:rPr>
            <w:rFonts w:ascii="Arial" w:eastAsia="Times New Roman" w:hAnsi="Arial" w:cs="Arial"/>
            <w:color w:val="000000"/>
            <w:kern w:val="0"/>
            <w:u w:val="single"/>
            <w:lang w:eastAsia="es-UY"/>
            <w14:ligatures w14:val="none"/>
          </w:rPr>
          <w:t> </w:t>
        </w:r>
      </w:hyperlink>
      <w:r w:rsidRPr="00CF043B">
        <w:rPr>
          <w:rFonts w:ascii="Arial" w:eastAsia="Times New Roman" w:hAnsi="Arial" w:cs="Arial"/>
          <w:color w:val="000000"/>
          <w:kern w:val="0"/>
          <w:lang w:eastAsia="es-UY"/>
          <w14:ligatures w14:val="none"/>
        </w:rPr>
        <w:t>en periodos de alta volatilidad. </w:t>
      </w:r>
      <w:r w:rsidRPr="00CF043B">
        <w:rPr>
          <w:rFonts w:ascii="Arial" w:eastAsia="Times New Roman" w:hAnsi="Arial" w:cs="Arial"/>
          <w:b/>
          <w:bCs/>
          <w:color w:val="000000"/>
          <w:kern w:val="0"/>
          <w:lang w:eastAsia="es-UY"/>
          <w14:ligatures w14:val="none"/>
        </w:rPr>
        <w:t>La fragmentación económica</w:t>
      </w:r>
      <w:r w:rsidRPr="00CF043B">
        <w:rPr>
          <w:rFonts w:ascii="Arial" w:eastAsia="Times New Roman" w:hAnsi="Arial" w:cs="Arial"/>
          <w:color w:val="000000"/>
          <w:kern w:val="0"/>
          <w:lang w:eastAsia="es-UY"/>
          <w14:ligatures w14:val="none"/>
        </w:rPr>
        <w:t> entre Estados miembros sigue siendo uno de los principales </w:t>
      </w:r>
      <w:r w:rsidRPr="00CF043B">
        <w:rPr>
          <w:rFonts w:ascii="Arial" w:eastAsia="Times New Roman" w:hAnsi="Arial" w:cs="Arial"/>
          <w:b/>
          <w:bCs/>
          <w:color w:val="000000"/>
          <w:kern w:val="0"/>
          <w:lang w:eastAsia="es-UY"/>
          <w14:ligatures w14:val="none"/>
        </w:rPr>
        <w:t>puntos de fragilidad estructural</w:t>
      </w:r>
      <w:r w:rsidRPr="00CF043B">
        <w:rPr>
          <w:rFonts w:ascii="Arial" w:eastAsia="Times New Roman" w:hAnsi="Arial" w:cs="Arial"/>
          <w:color w:val="000000"/>
          <w:kern w:val="0"/>
          <w:lang w:eastAsia="es-UY"/>
          <w14:ligatures w14:val="none"/>
        </w:rPr>
        <w:t> de una estrategia que aspira a proyectar unidad, pero que debe gestionarse sobre </w:t>
      </w:r>
      <w:r w:rsidRPr="00CF043B">
        <w:rPr>
          <w:rFonts w:ascii="Arial" w:eastAsia="Times New Roman" w:hAnsi="Arial" w:cs="Arial"/>
          <w:b/>
          <w:bCs/>
          <w:color w:val="000000"/>
          <w:kern w:val="0"/>
          <w:lang w:eastAsia="es-UY"/>
          <w14:ligatures w14:val="none"/>
        </w:rPr>
        <w:t>realidades muy dispares.</w:t>
      </w:r>
    </w:p>
    <w:p w14:paraId="5799EDAA" w14:textId="77777777" w:rsidR="00CF043B" w:rsidRPr="00CF043B" w:rsidRDefault="00CF043B" w:rsidP="00CF043B">
      <w:pPr>
        <w:shd w:val="clear" w:color="auto" w:fill="FFFFFF"/>
        <w:spacing w:before="360" w:after="80" w:line="240" w:lineRule="auto"/>
        <w:outlineLvl w:val="1"/>
        <w:rPr>
          <w:rFonts w:ascii="Arial" w:eastAsia="Times New Roman" w:hAnsi="Arial" w:cs="Arial"/>
          <w:b/>
          <w:bCs/>
          <w:color w:val="222222"/>
          <w:kern w:val="0"/>
          <w:sz w:val="36"/>
          <w:szCs w:val="36"/>
          <w:lang w:eastAsia="es-UY"/>
          <w14:ligatures w14:val="none"/>
        </w:rPr>
      </w:pPr>
      <w:r w:rsidRPr="00CF043B">
        <w:rPr>
          <w:rFonts w:ascii="Arial" w:eastAsia="Times New Roman" w:hAnsi="Arial" w:cs="Arial"/>
          <w:b/>
          <w:bCs/>
          <w:color w:val="000000"/>
          <w:kern w:val="0"/>
          <w:sz w:val="34"/>
          <w:szCs w:val="34"/>
          <w:lang w:eastAsia="es-UY"/>
          <w14:ligatures w14:val="none"/>
        </w:rPr>
        <w:t>El fin del gas ruso y el mensaje político hacia el exterior</w:t>
      </w:r>
    </w:p>
    <w:p w14:paraId="473F737D"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Más allá de sus implicaciones económicas, la prohibición del gas ruso envía un mensaje político directo al Kremlin. La UE busca demostrar que está dispuesta a asumir costes para </w:t>
      </w:r>
      <w:r w:rsidRPr="00CF043B">
        <w:rPr>
          <w:rFonts w:ascii="Arial" w:eastAsia="Times New Roman" w:hAnsi="Arial" w:cs="Arial"/>
          <w:b/>
          <w:bCs/>
          <w:color w:val="000000"/>
          <w:kern w:val="0"/>
          <w:lang w:eastAsia="es-UY"/>
          <w14:ligatures w14:val="none"/>
        </w:rPr>
        <w:t>defender su autonomía estratégica</w:t>
      </w:r>
      <w:r w:rsidRPr="00CF043B">
        <w:rPr>
          <w:rFonts w:ascii="Arial" w:eastAsia="Times New Roman" w:hAnsi="Arial" w:cs="Arial"/>
          <w:color w:val="000000"/>
          <w:kern w:val="0"/>
          <w:lang w:eastAsia="es-UY"/>
          <w14:ligatures w14:val="none"/>
        </w:rPr>
        <w:t xml:space="preserve"> y poner fin a cualquier forma de presión basada en el suministro energético, un mensaje reiterado por Ursula </w:t>
      </w:r>
      <w:proofErr w:type="spellStart"/>
      <w:r w:rsidRPr="00CF043B">
        <w:rPr>
          <w:rFonts w:ascii="Arial" w:eastAsia="Times New Roman" w:hAnsi="Arial" w:cs="Arial"/>
          <w:color w:val="000000"/>
          <w:kern w:val="0"/>
          <w:lang w:eastAsia="es-UY"/>
          <w14:ligatures w14:val="none"/>
        </w:rPr>
        <w:t>von</w:t>
      </w:r>
      <w:proofErr w:type="spellEnd"/>
      <w:r w:rsidRPr="00CF043B">
        <w:rPr>
          <w:rFonts w:ascii="Arial" w:eastAsia="Times New Roman" w:hAnsi="Arial" w:cs="Arial"/>
          <w:color w:val="000000"/>
          <w:kern w:val="0"/>
          <w:lang w:eastAsia="es-UY"/>
          <w14:ligatures w14:val="none"/>
        </w:rPr>
        <w:t xml:space="preserve"> </w:t>
      </w:r>
      <w:proofErr w:type="spellStart"/>
      <w:r w:rsidRPr="00CF043B">
        <w:rPr>
          <w:rFonts w:ascii="Arial" w:eastAsia="Times New Roman" w:hAnsi="Arial" w:cs="Arial"/>
          <w:color w:val="000000"/>
          <w:kern w:val="0"/>
          <w:lang w:eastAsia="es-UY"/>
          <w14:ligatures w14:val="none"/>
        </w:rPr>
        <w:t>der</w:t>
      </w:r>
      <w:proofErr w:type="spellEnd"/>
      <w:r w:rsidRPr="00CF043B">
        <w:rPr>
          <w:rFonts w:ascii="Arial" w:eastAsia="Times New Roman" w:hAnsi="Arial" w:cs="Arial"/>
          <w:color w:val="000000"/>
          <w:kern w:val="0"/>
          <w:lang w:eastAsia="es-UY"/>
          <w14:ligatures w14:val="none"/>
        </w:rPr>
        <w:t xml:space="preserve"> </w:t>
      </w:r>
      <w:proofErr w:type="spellStart"/>
      <w:r w:rsidRPr="00CF043B">
        <w:rPr>
          <w:rFonts w:ascii="Arial" w:eastAsia="Times New Roman" w:hAnsi="Arial" w:cs="Arial"/>
          <w:color w:val="000000"/>
          <w:kern w:val="0"/>
          <w:lang w:eastAsia="es-UY"/>
          <w14:ligatures w14:val="none"/>
        </w:rPr>
        <w:t>Leyen</w:t>
      </w:r>
      <w:proofErr w:type="spellEnd"/>
      <w:r w:rsidRPr="00CF043B">
        <w:rPr>
          <w:rFonts w:ascii="Arial" w:eastAsia="Times New Roman" w:hAnsi="Arial" w:cs="Arial"/>
          <w:color w:val="000000"/>
          <w:kern w:val="0"/>
          <w:lang w:eastAsia="es-UY"/>
          <w14:ligatures w14:val="none"/>
        </w:rPr>
        <w:t xml:space="preserve"> en sus últimas comparecencias públicas.</w:t>
      </w:r>
    </w:p>
    <w:p w14:paraId="683E6F5B"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La medida también pretende reforzar la credibilidad del régimen de sanciones adoptado desde 2022. Durante años, la continuidad de las importaciones energéticas rusas fue percibida como una </w:t>
      </w:r>
      <w:r w:rsidRPr="00CF043B">
        <w:rPr>
          <w:rFonts w:ascii="Arial" w:eastAsia="Times New Roman" w:hAnsi="Arial" w:cs="Arial"/>
          <w:b/>
          <w:bCs/>
          <w:color w:val="000000"/>
          <w:kern w:val="0"/>
          <w:lang w:eastAsia="es-UY"/>
          <w14:ligatures w14:val="none"/>
        </w:rPr>
        <w:t>incoherencia</w:t>
      </w:r>
      <w:r w:rsidRPr="00CF043B">
        <w:rPr>
          <w:rFonts w:ascii="Arial" w:eastAsia="Times New Roman" w:hAnsi="Arial" w:cs="Arial"/>
          <w:color w:val="000000"/>
          <w:kern w:val="0"/>
          <w:lang w:eastAsia="es-UY"/>
          <w14:ligatures w14:val="none"/>
        </w:rPr>
        <w:t> que debilitaba la posición europea frente al conflicto en Ucrania. Al cerrar esa brecha, Bruselas impulsa una reordenación profunda del mercado energético, donde factores como la previsibilidad de precios y el ajuste de </w:t>
      </w:r>
      <w:hyperlink r:id="rId10" w:tgtFrame="_blank" w:history="1">
        <w:r w:rsidRPr="00CF043B">
          <w:rPr>
            <w:rFonts w:ascii="Arial" w:eastAsia="Times New Roman" w:hAnsi="Arial" w:cs="Arial"/>
            <w:color w:val="1155CC"/>
            <w:kern w:val="0"/>
            <w:u w:val="single"/>
            <w:lang w:eastAsia="es-UY"/>
            <w14:ligatures w14:val="none"/>
          </w:rPr>
          <w:t>tarifas de gas natural</w:t>
        </w:r>
      </w:hyperlink>
      <w:hyperlink r:id="rId11" w:tgtFrame="_blank" w:history="1">
        <w:r w:rsidRPr="00CF043B">
          <w:rPr>
            <w:rFonts w:ascii="Arial" w:eastAsia="Times New Roman" w:hAnsi="Arial" w:cs="Arial"/>
            <w:color w:val="000000"/>
            <w:kern w:val="0"/>
            <w:u w:val="single"/>
            <w:lang w:eastAsia="es-UY"/>
            <w14:ligatures w14:val="none"/>
          </w:rPr>
          <w:t> </w:t>
        </w:r>
      </w:hyperlink>
      <w:r w:rsidRPr="00CF043B">
        <w:rPr>
          <w:rFonts w:ascii="Arial" w:eastAsia="Times New Roman" w:hAnsi="Arial" w:cs="Arial"/>
          <w:color w:val="000000"/>
          <w:kern w:val="0"/>
          <w:lang w:eastAsia="es-UY"/>
          <w14:ligatures w14:val="none"/>
        </w:rPr>
        <w:t>más competitivas se consolidan como una consecuencia directa de un marco regulatorio más estable y alineado con sus objetivos estratégicos.</w:t>
      </w:r>
    </w:p>
    <w:p w14:paraId="3E42D3F2"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No obstante, la apuesta entraña riesgos geopolíticos evidentes:</w:t>
      </w:r>
    </w:p>
    <w:p w14:paraId="24C9B53F" w14:textId="77777777" w:rsidR="00CF043B" w:rsidRPr="00CF043B" w:rsidRDefault="00CF043B" w:rsidP="00CF043B">
      <w:pPr>
        <w:numPr>
          <w:ilvl w:val="0"/>
          <w:numId w:val="1"/>
        </w:numPr>
        <w:spacing w:before="240" w:after="0" w:line="240" w:lineRule="auto"/>
        <w:ind w:left="945"/>
        <w:textAlignment w:val="baseline"/>
        <w:rPr>
          <w:rFonts w:ascii="Arial" w:eastAsia="Times New Roman" w:hAnsi="Arial" w:cs="Arial"/>
          <w:color w:val="000000"/>
          <w:kern w:val="0"/>
          <w:lang w:eastAsia="es-UY"/>
          <w14:ligatures w14:val="none"/>
        </w:rPr>
      </w:pPr>
      <w:r w:rsidRPr="00CF043B">
        <w:rPr>
          <w:rFonts w:ascii="Arial" w:eastAsia="Times New Roman" w:hAnsi="Arial" w:cs="Arial"/>
          <w:color w:val="000000"/>
          <w:kern w:val="0"/>
          <w:lang w:eastAsia="es-UY"/>
          <w14:ligatures w14:val="none"/>
        </w:rPr>
        <w:t>Rusia ya ha manifestado su intención de redirigir exportaciones hacia Asia.</w:t>
      </w:r>
    </w:p>
    <w:p w14:paraId="693AEC8E" w14:textId="77777777" w:rsidR="00CF043B" w:rsidRPr="00CF043B" w:rsidRDefault="00CF043B" w:rsidP="00CF043B">
      <w:pPr>
        <w:numPr>
          <w:ilvl w:val="0"/>
          <w:numId w:val="1"/>
        </w:numPr>
        <w:spacing w:after="240" w:line="240" w:lineRule="auto"/>
        <w:ind w:left="945"/>
        <w:textAlignment w:val="baseline"/>
        <w:rPr>
          <w:rFonts w:ascii="Arial" w:eastAsia="Times New Roman" w:hAnsi="Arial" w:cs="Arial"/>
          <w:color w:val="000000"/>
          <w:kern w:val="0"/>
          <w:lang w:eastAsia="es-UY"/>
          <w14:ligatures w14:val="none"/>
        </w:rPr>
      </w:pPr>
      <w:r w:rsidRPr="00CF043B">
        <w:rPr>
          <w:rFonts w:ascii="Arial" w:eastAsia="Times New Roman" w:hAnsi="Arial" w:cs="Arial"/>
          <w:color w:val="000000"/>
          <w:kern w:val="0"/>
          <w:lang w:eastAsia="es-UY"/>
          <w14:ligatures w14:val="none"/>
        </w:rPr>
        <w:t xml:space="preserve">La UE, por su parte, acelera la búsqueda de nuevos proveedores y adapta sus mecanismos de </w:t>
      </w:r>
      <w:hyperlink r:id="rId12" w:tgtFrame="_blank" w:history="1">
        <w:r w:rsidRPr="00CF043B">
          <w:rPr>
            <w:rFonts w:ascii="Arial" w:eastAsia="Times New Roman" w:hAnsi="Arial" w:cs="Arial"/>
            <w:color w:val="1155CC"/>
            <w:kern w:val="0"/>
            <w:u w:val="single"/>
            <w:lang w:eastAsia="es-UY"/>
            <w14:ligatures w14:val="none"/>
          </w:rPr>
          <w:t>contratación de gas</w:t>
        </w:r>
        <w:r w:rsidRPr="00CF043B">
          <w:rPr>
            <w:rFonts w:ascii="Arial" w:eastAsia="Times New Roman" w:hAnsi="Arial" w:cs="Arial"/>
            <w:color w:val="000000"/>
            <w:kern w:val="0"/>
            <w:u w:val="single"/>
            <w:lang w:eastAsia="es-UY"/>
            <w14:ligatures w14:val="none"/>
          </w:rPr>
          <w:t xml:space="preserve"> </w:t>
        </w:r>
      </w:hyperlink>
      <w:r w:rsidRPr="00CF043B">
        <w:rPr>
          <w:rFonts w:ascii="Arial" w:eastAsia="Times New Roman" w:hAnsi="Arial" w:cs="Arial"/>
          <w:color w:val="000000"/>
          <w:kern w:val="0"/>
          <w:lang w:eastAsia="es-UY"/>
          <w14:ligatures w14:val="none"/>
        </w:rPr>
        <w:t>en condiciones con menor dependencia.</w:t>
      </w:r>
    </w:p>
    <w:p w14:paraId="1491E60B"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El fin del gas ruso no es solo una ruptura comercial, sino una decisión estratégica cuyos efectos se medirán a lo largo de la próxima década.</w:t>
      </w:r>
    </w:p>
    <w:p w14:paraId="3C330166" w14:textId="77777777" w:rsidR="00CF043B" w:rsidRPr="00CF043B" w:rsidRDefault="00CF043B" w:rsidP="00CF043B">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CF043B">
        <w:rPr>
          <w:rFonts w:ascii="Arial" w:eastAsia="Times New Roman" w:hAnsi="Arial" w:cs="Arial"/>
          <w:color w:val="000000"/>
          <w:kern w:val="0"/>
          <w:lang w:eastAsia="es-UY"/>
          <w14:ligatures w14:val="none"/>
        </w:rPr>
        <w:t>Fuente: </w:t>
      </w:r>
      <w:hyperlink r:id="rId13" w:tgtFrame="_blank" w:history="1">
        <w:r w:rsidRPr="00CF043B">
          <w:rPr>
            <w:rFonts w:ascii="Arial" w:eastAsia="Times New Roman" w:hAnsi="Arial" w:cs="Arial"/>
            <w:color w:val="1155CC"/>
            <w:kern w:val="0"/>
            <w:u w:val="single"/>
            <w:lang w:eastAsia="es-UY"/>
            <w14:ligatures w14:val="none"/>
          </w:rPr>
          <w:t>papernest.es</w:t>
        </w:r>
      </w:hyperlink>
    </w:p>
    <w:p w14:paraId="5507D30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941BC"/>
    <w:multiLevelType w:val="multilevel"/>
    <w:tmpl w:val="3908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08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3B"/>
    <w:rsid w:val="00594BE1"/>
    <w:rsid w:val="00926044"/>
    <w:rsid w:val="00CF043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5B5A"/>
  <w15:chartTrackingRefBased/>
  <w15:docId w15:val="{8D32649E-CA00-46A4-B0E2-1AA86172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0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0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04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04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04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04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04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04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04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4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04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04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04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04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04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04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04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043B"/>
    <w:rPr>
      <w:rFonts w:eastAsiaTheme="majorEastAsia" w:cstheme="majorBidi"/>
      <w:color w:val="272727" w:themeColor="text1" w:themeTint="D8"/>
    </w:rPr>
  </w:style>
  <w:style w:type="paragraph" w:styleId="Ttulo">
    <w:name w:val="Title"/>
    <w:basedOn w:val="Normal"/>
    <w:next w:val="Normal"/>
    <w:link w:val="TtuloCar"/>
    <w:uiPriority w:val="10"/>
    <w:qFormat/>
    <w:rsid w:val="00CF0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04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04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04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043B"/>
    <w:pPr>
      <w:spacing w:before="160"/>
      <w:jc w:val="center"/>
    </w:pPr>
    <w:rPr>
      <w:i/>
      <w:iCs/>
      <w:color w:val="404040" w:themeColor="text1" w:themeTint="BF"/>
    </w:rPr>
  </w:style>
  <w:style w:type="character" w:customStyle="1" w:styleId="CitaCar">
    <w:name w:val="Cita Car"/>
    <w:basedOn w:val="Fuentedeprrafopredeter"/>
    <w:link w:val="Cita"/>
    <w:uiPriority w:val="29"/>
    <w:rsid w:val="00CF043B"/>
    <w:rPr>
      <w:i/>
      <w:iCs/>
      <w:color w:val="404040" w:themeColor="text1" w:themeTint="BF"/>
    </w:rPr>
  </w:style>
  <w:style w:type="paragraph" w:styleId="Prrafodelista">
    <w:name w:val="List Paragraph"/>
    <w:basedOn w:val="Normal"/>
    <w:uiPriority w:val="34"/>
    <w:qFormat/>
    <w:rsid w:val="00CF043B"/>
    <w:pPr>
      <w:ind w:left="720"/>
      <w:contextualSpacing/>
    </w:pPr>
  </w:style>
  <w:style w:type="character" w:styleId="nfasisintenso">
    <w:name w:val="Intense Emphasis"/>
    <w:basedOn w:val="Fuentedeprrafopredeter"/>
    <w:uiPriority w:val="21"/>
    <w:qFormat/>
    <w:rsid w:val="00CF043B"/>
    <w:rPr>
      <w:i/>
      <w:iCs/>
      <w:color w:val="0F4761" w:themeColor="accent1" w:themeShade="BF"/>
    </w:rPr>
  </w:style>
  <w:style w:type="paragraph" w:styleId="Citadestacada">
    <w:name w:val="Intense Quote"/>
    <w:basedOn w:val="Normal"/>
    <w:next w:val="Normal"/>
    <w:link w:val="CitadestacadaCar"/>
    <w:uiPriority w:val="30"/>
    <w:qFormat/>
    <w:rsid w:val="00CF0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043B"/>
    <w:rPr>
      <w:i/>
      <w:iCs/>
      <w:color w:val="0F4761" w:themeColor="accent1" w:themeShade="BF"/>
    </w:rPr>
  </w:style>
  <w:style w:type="character" w:styleId="Referenciaintensa">
    <w:name w:val="Intense Reference"/>
    <w:basedOn w:val="Fuentedeprrafopredeter"/>
    <w:uiPriority w:val="32"/>
    <w:qFormat/>
    <w:rsid w:val="00CF04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info/estafas-luz-gas/" TargetMode="External"/><Relationship Id="rId13" Type="http://schemas.openxmlformats.org/officeDocument/2006/relationships/hyperlink" Target="http://papernest.es/" TargetMode="External"/><Relationship Id="rId3" Type="http://schemas.openxmlformats.org/officeDocument/2006/relationships/settings" Target="settings.xml"/><Relationship Id="rId7" Type="http://schemas.openxmlformats.org/officeDocument/2006/relationships/hyperlink" Target="https://www.papernest.es/precio-gas-natural/" TargetMode="External"/><Relationship Id="rId12" Type="http://schemas.openxmlformats.org/officeDocument/2006/relationships/hyperlink" Target="https://www.papernest.es/contratar-g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precio-gas-natural/" TargetMode="External"/><Relationship Id="rId11" Type="http://schemas.openxmlformats.org/officeDocument/2006/relationships/hyperlink" Target="https://www.papernest.es/tarifas-gas-natural/" TargetMode="External"/><Relationship Id="rId5" Type="http://schemas.openxmlformats.org/officeDocument/2006/relationships/hyperlink" Target="https://www.papernest.es/comparador-gas/" TargetMode="External"/><Relationship Id="rId15" Type="http://schemas.openxmlformats.org/officeDocument/2006/relationships/theme" Target="theme/theme1.xml"/><Relationship Id="rId10" Type="http://schemas.openxmlformats.org/officeDocument/2006/relationships/hyperlink" Target="https://www.papernest.es/tarifas-gas-natural/" TargetMode="External"/><Relationship Id="rId4" Type="http://schemas.openxmlformats.org/officeDocument/2006/relationships/webSettings" Target="webSettings.xml"/><Relationship Id="rId9" Type="http://schemas.openxmlformats.org/officeDocument/2006/relationships/hyperlink" Target="https://www.papernest.es/info/estafas-luz-ga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4728</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2025-12-15T14:15:00Z</dcterms:created>
  <dcterms:modified xsi:type="dcterms:W3CDTF">2025-12-15T14:15:00Z</dcterms:modified>
</cp:coreProperties>
</file>