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7DDA" w14:textId="6E248164" w:rsid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drawing>
          <wp:inline distT="0" distB="0" distL="0" distR="0" wp14:anchorId="0984C1A2" wp14:editId="71E17375">
            <wp:extent cx="5400040" cy="2038350"/>
            <wp:effectExtent l="0" t="0" r="0" b="0"/>
            <wp:docPr id="664096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96198" name=""/>
                    <pic:cNvPicPr/>
                  </pic:nvPicPr>
                  <pic:blipFill>
                    <a:blip r:embed="rId4"/>
                    <a:stretch>
                      <a:fillRect/>
                    </a:stretch>
                  </pic:blipFill>
                  <pic:spPr>
                    <a:xfrm>
                      <a:off x="0" y="0"/>
                      <a:ext cx="5400040" cy="2038350"/>
                    </a:xfrm>
                    <a:prstGeom prst="rect">
                      <a:avLst/>
                    </a:prstGeom>
                  </pic:spPr>
                </pic:pic>
              </a:graphicData>
            </a:graphic>
          </wp:inline>
        </w:drawing>
      </w:r>
    </w:p>
    <w:p w14:paraId="57D3BCEE" w14:textId="77777777" w:rsid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p>
    <w:p w14:paraId="3E23A010" w14:textId="77777777" w:rsid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p>
    <w:p w14:paraId="4C035DD9" w14:textId="7103E98C"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Representante de la </w:t>
      </w:r>
      <w:r w:rsidRPr="00B12FA9">
        <w:rPr>
          <w:rFonts w:ascii="Arial" w:eastAsia="Times New Roman" w:hAnsi="Arial" w:cs="Arial"/>
          <w:b/>
          <w:bCs/>
          <w:color w:val="333333"/>
          <w:kern w:val="0"/>
          <w:sz w:val="26"/>
          <w:szCs w:val="26"/>
          <w:lang w:eastAsia="es-UY"/>
          <w14:ligatures w14:val="none"/>
        </w:rPr>
        <w:t>Articulación de Pueblos Indígenas</w:t>
      </w:r>
      <w:r w:rsidRPr="00B12FA9">
        <w:rPr>
          <w:rFonts w:ascii="Arial" w:eastAsia="Times New Roman" w:hAnsi="Arial" w:cs="Arial"/>
          <w:color w:val="333333"/>
          <w:kern w:val="0"/>
          <w:sz w:val="26"/>
          <w:szCs w:val="26"/>
          <w:lang w:eastAsia="es-UY"/>
          <w14:ligatures w14:val="none"/>
        </w:rPr>
        <w:t> critica uso político del </w:t>
      </w:r>
      <w:hyperlink r:id="rId5" w:tgtFrame="_blank" w:history="1">
        <w:r w:rsidRPr="00B12FA9">
          <w:rPr>
            <w:rFonts w:ascii="Arial" w:eastAsia="Times New Roman" w:hAnsi="Arial" w:cs="Arial"/>
            <w:color w:val="FC6B01"/>
            <w:kern w:val="0"/>
            <w:sz w:val="26"/>
            <w:szCs w:val="26"/>
            <w:u w:val="single"/>
            <w:lang w:eastAsia="es-UY"/>
            <w14:ligatures w14:val="none"/>
          </w:rPr>
          <w:t>Marco Temporal</w:t>
        </w:r>
      </w:hyperlink>
      <w:r w:rsidRPr="00B12FA9">
        <w:rPr>
          <w:rFonts w:ascii="Arial" w:eastAsia="Times New Roman" w:hAnsi="Arial" w:cs="Arial"/>
          <w:color w:val="333333"/>
          <w:kern w:val="0"/>
          <w:sz w:val="26"/>
          <w:szCs w:val="26"/>
          <w:lang w:eastAsia="es-UY"/>
          <w14:ligatures w14:val="none"/>
        </w:rPr>
        <w:t> en conflicto entre poderes.</w:t>
      </w:r>
    </w:p>
    <w:p w14:paraId="383438D5"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Este informe es de  </w:t>
      </w:r>
      <w:r w:rsidRPr="00B12FA9">
        <w:rPr>
          <w:rFonts w:ascii="Arial" w:eastAsia="Times New Roman" w:hAnsi="Arial" w:cs="Arial"/>
          <w:b/>
          <w:bCs/>
          <w:color w:val="333333"/>
          <w:kern w:val="0"/>
          <w:sz w:val="26"/>
          <w:szCs w:val="26"/>
          <w:lang w:eastAsia="es-UY"/>
          <w14:ligatures w14:val="none"/>
        </w:rPr>
        <w:t>Laura Scofield</w:t>
      </w:r>
      <w:r w:rsidRPr="00B12FA9">
        <w:rPr>
          <w:rFonts w:ascii="Arial" w:eastAsia="Times New Roman" w:hAnsi="Arial" w:cs="Arial"/>
          <w:color w:val="333333"/>
          <w:kern w:val="0"/>
          <w:sz w:val="26"/>
          <w:szCs w:val="26"/>
          <w:lang w:eastAsia="es-UY"/>
          <w14:ligatures w14:val="none"/>
        </w:rPr>
        <w:t> , publicado por </w:t>
      </w:r>
      <w:proofErr w:type="spellStart"/>
      <w:r w:rsidRPr="00B12FA9">
        <w:rPr>
          <w:rFonts w:ascii="Arial" w:eastAsia="Times New Roman" w:hAnsi="Arial" w:cs="Arial"/>
          <w:color w:val="333333"/>
          <w:kern w:val="0"/>
          <w:sz w:val="26"/>
          <w:szCs w:val="26"/>
          <w:lang w:eastAsia="es-UY"/>
          <w14:ligatures w14:val="none"/>
        </w:rPr>
        <w:fldChar w:fldCharType="begin"/>
      </w:r>
      <w:r w:rsidRPr="00B12FA9">
        <w:rPr>
          <w:rFonts w:ascii="Arial" w:eastAsia="Times New Roman" w:hAnsi="Arial" w:cs="Arial"/>
          <w:color w:val="333333"/>
          <w:kern w:val="0"/>
          <w:sz w:val="26"/>
          <w:szCs w:val="26"/>
          <w:lang w:eastAsia="es-UY"/>
          <w14:ligatures w14:val="none"/>
        </w:rPr>
        <w:instrText>HYPERLINK "https://apublica.org/2025/12/marco-temporal-direito-indigena-e-moeda-de-troca-critica-advogado/" \t "_blank"</w:instrText>
      </w:r>
      <w:r w:rsidRPr="00B12FA9">
        <w:rPr>
          <w:rFonts w:ascii="Arial" w:eastAsia="Times New Roman" w:hAnsi="Arial" w:cs="Arial"/>
          <w:color w:val="333333"/>
          <w:kern w:val="0"/>
          <w:sz w:val="26"/>
          <w:szCs w:val="26"/>
          <w:lang w:eastAsia="es-UY"/>
          <w14:ligatures w14:val="none"/>
        </w:rPr>
      </w:r>
      <w:r w:rsidRPr="00B12FA9">
        <w:rPr>
          <w:rFonts w:ascii="Arial" w:eastAsia="Times New Roman" w:hAnsi="Arial" w:cs="Arial"/>
          <w:color w:val="333333"/>
          <w:kern w:val="0"/>
          <w:sz w:val="26"/>
          <w:szCs w:val="26"/>
          <w:lang w:eastAsia="es-UY"/>
          <w14:ligatures w14:val="none"/>
        </w:rPr>
        <w:fldChar w:fldCharType="separate"/>
      </w:r>
      <w:r w:rsidRPr="00B12FA9">
        <w:rPr>
          <w:rFonts w:ascii="Arial" w:eastAsia="Times New Roman" w:hAnsi="Arial" w:cs="Arial"/>
          <w:color w:val="FC6B01"/>
          <w:kern w:val="0"/>
          <w:sz w:val="26"/>
          <w:szCs w:val="26"/>
          <w:u w:val="single"/>
          <w:lang w:eastAsia="es-UY"/>
          <w14:ligatures w14:val="none"/>
        </w:rPr>
        <w:t>Agência</w:t>
      </w:r>
      <w:proofErr w:type="spellEnd"/>
      <w:r w:rsidRPr="00B12FA9">
        <w:rPr>
          <w:rFonts w:ascii="Arial" w:eastAsia="Times New Roman" w:hAnsi="Arial" w:cs="Arial"/>
          <w:color w:val="FC6B01"/>
          <w:kern w:val="0"/>
          <w:sz w:val="26"/>
          <w:szCs w:val="26"/>
          <w:u w:val="single"/>
          <w:lang w:eastAsia="es-UY"/>
          <w14:ligatures w14:val="none"/>
        </w:rPr>
        <w:t xml:space="preserve"> Pública</w:t>
      </w:r>
      <w:r w:rsidRPr="00B12FA9">
        <w:rPr>
          <w:rFonts w:ascii="Arial" w:eastAsia="Times New Roman" w:hAnsi="Arial" w:cs="Arial"/>
          <w:color w:val="333333"/>
          <w:kern w:val="0"/>
          <w:sz w:val="26"/>
          <w:szCs w:val="26"/>
          <w:lang w:eastAsia="es-UY"/>
          <w14:ligatures w14:val="none"/>
        </w:rPr>
        <w:fldChar w:fldCharType="end"/>
      </w:r>
      <w:r w:rsidRPr="00B12FA9">
        <w:rPr>
          <w:rFonts w:ascii="Arial" w:eastAsia="Times New Roman" w:hAnsi="Arial" w:cs="Arial"/>
          <w:color w:val="333333"/>
          <w:kern w:val="0"/>
          <w:sz w:val="26"/>
          <w:szCs w:val="26"/>
          <w:lang w:eastAsia="es-UY"/>
          <w14:ligatures w14:val="none"/>
        </w:rPr>
        <w:t> , el 12 de diciembre de 2025.</w:t>
      </w:r>
    </w:p>
    <w:p w14:paraId="4675058A"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“Tenemos la sensación de que </w:t>
      </w:r>
      <w:hyperlink r:id="rId6" w:tgtFrame="_blank" w:history="1">
        <w:r w:rsidRPr="00B12FA9">
          <w:rPr>
            <w:rFonts w:ascii="Arial" w:eastAsia="Times New Roman" w:hAnsi="Arial" w:cs="Arial"/>
            <w:color w:val="FC6B01"/>
            <w:kern w:val="0"/>
            <w:sz w:val="26"/>
            <w:szCs w:val="26"/>
            <w:u w:val="single"/>
            <w:lang w:eastAsia="es-UY"/>
            <w14:ligatures w14:val="none"/>
          </w:rPr>
          <w:t>nuestros derechos siempre se utilizan como moneda de cambio</w:t>
        </w:r>
      </w:hyperlink>
      <w:r w:rsidRPr="00B12FA9">
        <w:rPr>
          <w:rFonts w:ascii="Arial" w:eastAsia="Times New Roman" w:hAnsi="Arial" w:cs="Arial"/>
          <w:color w:val="333333"/>
          <w:kern w:val="0"/>
          <w:sz w:val="26"/>
          <w:szCs w:val="26"/>
          <w:lang w:eastAsia="es-UY"/>
          <w14:ligatures w14:val="none"/>
        </w:rPr>
        <w:t> ”. Así describe el abogado </w:t>
      </w:r>
      <w:hyperlink r:id="rId7" w:tgtFrame="_blank" w:history="1">
        <w:r w:rsidRPr="00B12FA9">
          <w:rPr>
            <w:rFonts w:ascii="Arial" w:eastAsia="Times New Roman" w:hAnsi="Arial" w:cs="Arial"/>
            <w:color w:val="FC6B01"/>
            <w:kern w:val="0"/>
            <w:sz w:val="26"/>
            <w:szCs w:val="26"/>
            <w:u w:val="single"/>
            <w:lang w:eastAsia="es-UY"/>
            <w14:ligatures w14:val="none"/>
          </w:rPr>
          <w:t>Ricardo Terena</w:t>
        </w:r>
      </w:hyperlink>
      <w:r w:rsidRPr="00B12FA9">
        <w:rPr>
          <w:rFonts w:ascii="Arial" w:eastAsia="Times New Roman" w:hAnsi="Arial" w:cs="Arial"/>
          <w:color w:val="333333"/>
          <w:kern w:val="0"/>
          <w:sz w:val="26"/>
          <w:szCs w:val="26"/>
          <w:lang w:eastAsia="es-UY"/>
          <w14:ligatures w14:val="none"/>
        </w:rPr>
        <w:t> , representante de la </w:t>
      </w:r>
      <w:r w:rsidRPr="00B12FA9">
        <w:rPr>
          <w:rFonts w:ascii="Arial" w:eastAsia="Times New Roman" w:hAnsi="Arial" w:cs="Arial"/>
          <w:b/>
          <w:bCs/>
          <w:color w:val="333333"/>
          <w:kern w:val="0"/>
          <w:sz w:val="26"/>
          <w:szCs w:val="26"/>
          <w:lang w:eastAsia="es-UY"/>
          <w14:ligatures w14:val="none"/>
        </w:rPr>
        <w:t>Articulación de los Pueblos Indígenas de Brasil</w:t>
      </w:r>
      <w:r w:rsidRPr="00B12FA9">
        <w:rPr>
          <w:rFonts w:ascii="Arial" w:eastAsia="Times New Roman" w:hAnsi="Arial" w:cs="Arial"/>
          <w:color w:val="333333"/>
          <w:kern w:val="0"/>
          <w:sz w:val="26"/>
          <w:szCs w:val="26"/>
          <w:lang w:eastAsia="es-UY"/>
          <w14:ligatures w14:val="none"/>
        </w:rPr>
        <w:t> ( </w:t>
      </w:r>
      <w:r w:rsidRPr="00B12FA9">
        <w:rPr>
          <w:rFonts w:ascii="Arial" w:eastAsia="Times New Roman" w:hAnsi="Arial" w:cs="Arial"/>
          <w:b/>
          <w:bCs/>
          <w:color w:val="333333"/>
          <w:kern w:val="0"/>
          <w:sz w:val="26"/>
          <w:szCs w:val="26"/>
          <w:lang w:eastAsia="es-UY"/>
          <w14:ligatures w14:val="none"/>
        </w:rPr>
        <w:t>APIB ), el conflicto entre el Congreso Nacional</w:t>
      </w:r>
      <w:r w:rsidRPr="00B12FA9">
        <w:rPr>
          <w:rFonts w:ascii="Arial" w:eastAsia="Times New Roman" w:hAnsi="Arial" w:cs="Arial"/>
          <w:color w:val="333333"/>
          <w:kern w:val="0"/>
          <w:sz w:val="26"/>
          <w:szCs w:val="26"/>
          <w:lang w:eastAsia="es-UY"/>
          <w14:ligatures w14:val="none"/>
        </w:rPr>
        <w:t> y el </w:t>
      </w:r>
      <w:r w:rsidRPr="00B12FA9">
        <w:rPr>
          <w:rFonts w:ascii="Arial" w:eastAsia="Times New Roman" w:hAnsi="Arial" w:cs="Arial"/>
          <w:b/>
          <w:bCs/>
          <w:color w:val="333333"/>
          <w:kern w:val="0"/>
          <w:sz w:val="26"/>
          <w:szCs w:val="26"/>
          <w:lang w:eastAsia="es-UY"/>
          <w14:ligatures w14:val="none"/>
        </w:rPr>
        <w:t>Supremo Tribunal Federal</w:t>
      </w:r>
      <w:r w:rsidRPr="00B12FA9">
        <w:rPr>
          <w:rFonts w:ascii="Arial" w:eastAsia="Times New Roman" w:hAnsi="Arial" w:cs="Arial"/>
          <w:color w:val="333333"/>
          <w:kern w:val="0"/>
          <w:sz w:val="26"/>
          <w:szCs w:val="26"/>
          <w:lang w:eastAsia="es-UY"/>
          <w14:ligatures w14:val="none"/>
        </w:rPr>
        <w:t> ( </w:t>
      </w:r>
      <w:r w:rsidRPr="00B12FA9">
        <w:rPr>
          <w:rFonts w:ascii="Arial" w:eastAsia="Times New Roman" w:hAnsi="Arial" w:cs="Arial"/>
          <w:b/>
          <w:bCs/>
          <w:color w:val="333333"/>
          <w:kern w:val="0"/>
          <w:sz w:val="26"/>
          <w:szCs w:val="26"/>
          <w:lang w:eastAsia="es-UY"/>
          <w14:ligatures w14:val="none"/>
        </w:rPr>
        <w:t>STF</w:t>
      </w:r>
      <w:r w:rsidRPr="00B12FA9">
        <w:rPr>
          <w:rFonts w:ascii="Arial" w:eastAsia="Times New Roman" w:hAnsi="Arial" w:cs="Arial"/>
          <w:color w:val="333333"/>
          <w:kern w:val="0"/>
          <w:sz w:val="26"/>
          <w:szCs w:val="26"/>
          <w:lang w:eastAsia="es-UY"/>
          <w14:ligatures w14:val="none"/>
        </w:rPr>
        <w:t> ) en torno a las decisiones sobre el </w:t>
      </w:r>
      <w:r w:rsidRPr="00B12FA9">
        <w:rPr>
          <w:rFonts w:ascii="Arial" w:eastAsia="Times New Roman" w:hAnsi="Arial" w:cs="Arial"/>
          <w:b/>
          <w:bCs/>
          <w:color w:val="333333"/>
          <w:kern w:val="0"/>
          <w:sz w:val="26"/>
          <w:szCs w:val="26"/>
          <w:lang w:eastAsia="es-UY"/>
          <w14:ligatures w14:val="none"/>
        </w:rPr>
        <w:t>Marco Temporal</w:t>
      </w:r>
      <w:r w:rsidRPr="00B12FA9">
        <w:rPr>
          <w:rFonts w:ascii="Arial" w:eastAsia="Times New Roman" w:hAnsi="Arial" w:cs="Arial"/>
          <w:color w:val="333333"/>
          <w:kern w:val="0"/>
          <w:sz w:val="26"/>
          <w:szCs w:val="26"/>
          <w:lang w:eastAsia="es-UY"/>
          <w14:ligatures w14:val="none"/>
        </w:rPr>
        <w:t> . Esta semana, el Senado aprobó la Propuesta de Enmienda a la Constitución ( </w:t>
      </w:r>
      <w:r w:rsidRPr="00B12FA9">
        <w:rPr>
          <w:rFonts w:ascii="Arial" w:eastAsia="Times New Roman" w:hAnsi="Arial" w:cs="Arial"/>
          <w:b/>
          <w:bCs/>
          <w:color w:val="333333"/>
          <w:kern w:val="0"/>
          <w:sz w:val="26"/>
          <w:szCs w:val="26"/>
          <w:lang w:eastAsia="es-UY"/>
          <w14:ligatures w14:val="none"/>
        </w:rPr>
        <w:t>PEC</w:t>
      </w:r>
      <w:r w:rsidRPr="00B12FA9">
        <w:rPr>
          <w:rFonts w:ascii="Arial" w:eastAsia="Times New Roman" w:hAnsi="Arial" w:cs="Arial"/>
          <w:color w:val="333333"/>
          <w:kern w:val="0"/>
          <w:sz w:val="26"/>
          <w:szCs w:val="26"/>
          <w:lang w:eastAsia="es-UY"/>
          <w14:ligatures w14:val="none"/>
        </w:rPr>
        <w:t> ) sobre el </w:t>
      </w:r>
      <w:r w:rsidRPr="00B12FA9">
        <w:rPr>
          <w:rFonts w:ascii="Arial" w:eastAsia="Times New Roman" w:hAnsi="Arial" w:cs="Arial"/>
          <w:b/>
          <w:bCs/>
          <w:color w:val="333333"/>
          <w:kern w:val="0"/>
          <w:sz w:val="26"/>
          <w:szCs w:val="26"/>
          <w:lang w:eastAsia="es-UY"/>
          <w14:ligatures w14:val="none"/>
        </w:rPr>
        <w:t>Marco Temporal</w:t>
      </w:r>
      <w:r w:rsidRPr="00B12FA9">
        <w:rPr>
          <w:rFonts w:ascii="Arial" w:eastAsia="Times New Roman" w:hAnsi="Arial" w:cs="Arial"/>
          <w:color w:val="333333"/>
          <w:kern w:val="0"/>
          <w:sz w:val="26"/>
          <w:szCs w:val="26"/>
          <w:lang w:eastAsia="es-UY"/>
          <w14:ligatures w14:val="none"/>
        </w:rPr>
        <w:t> , que modifica la </w:t>
      </w:r>
      <w:r w:rsidRPr="00B12FA9">
        <w:rPr>
          <w:rFonts w:ascii="Arial" w:eastAsia="Times New Roman" w:hAnsi="Arial" w:cs="Arial"/>
          <w:b/>
          <w:bCs/>
          <w:color w:val="333333"/>
          <w:kern w:val="0"/>
          <w:sz w:val="26"/>
          <w:szCs w:val="26"/>
          <w:lang w:eastAsia="es-UY"/>
          <w14:ligatures w14:val="none"/>
        </w:rPr>
        <w:t>Constitución</w:t>
      </w:r>
      <w:r w:rsidRPr="00B12FA9">
        <w:rPr>
          <w:rFonts w:ascii="Arial" w:eastAsia="Times New Roman" w:hAnsi="Arial" w:cs="Arial"/>
          <w:color w:val="333333"/>
          <w:kern w:val="0"/>
          <w:sz w:val="26"/>
          <w:szCs w:val="26"/>
          <w:lang w:eastAsia="es-UY"/>
          <w14:ligatures w14:val="none"/>
        </w:rPr>
        <w:t> para incluir el principio de que las tierras indígenas solo pueden demarcarse si se prueba su ocupación por parte de pueblos indígenas el 5 de octubre de 1988. La PEC será analizada ahora por la Cámara de Diputados.</w:t>
      </w:r>
    </w:p>
    <w:p w14:paraId="126267E3"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Esta maniobra del </w:t>
      </w:r>
      <w:r w:rsidRPr="00B12FA9">
        <w:rPr>
          <w:rFonts w:ascii="Arial" w:eastAsia="Times New Roman" w:hAnsi="Arial" w:cs="Arial"/>
          <w:b/>
          <w:bCs/>
          <w:color w:val="333333"/>
          <w:kern w:val="0"/>
          <w:sz w:val="26"/>
          <w:szCs w:val="26"/>
          <w:lang w:eastAsia="es-UY"/>
          <w14:ligatures w14:val="none"/>
        </w:rPr>
        <w:t>Senado</w:t>
      </w:r>
      <w:r w:rsidRPr="00B12FA9">
        <w:rPr>
          <w:rFonts w:ascii="Arial" w:eastAsia="Times New Roman" w:hAnsi="Arial" w:cs="Arial"/>
          <w:color w:val="333333"/>
          <w:kern w:val="0"/>
          <w:sz w:val="26"/>
          <w:szCs w:val="26"/>
          <w:lang w:eastAsia="es-UY"/>
          <w14:ligatures w14:val="none"/>
        </w:rPr>
        <w:t> ocurrió un día antes del inicio del juicio ante el Tribunal Supremo sobre la constitucionalidad de </w:t>
      </w:r>
      <w:hyperlink r:id="rId8" w:tgtFrame="_blank" w:history="1">
        <w:r w:rsidRPr="00B12FA9">
          <w:rPr>
            <w:rFonts w:ascii="Arial" w:eastAsia="Times New Roman" w:hAnsi="Arial" w:cs="Arial"/>
            <w:color w:val="FC6B01"/>
            <w:kern w:val="0"/>
            <w:sz w:val="26"/>
            <w:szCs w:val="26"/>
            <w:u w:val="single"/>
            <w:lang w:eastAsia="es-UY"/>
            <w14:ligatures w14:val="none"/>
          </w:rPr>
          <w:t>la Ley 14.701/2023</w:t>
        </w:r>
      </w:hyperlink>
      <w:r w:rsidRPr="00B12FA9">
        <w:rPr>
          <w:rFonts w:ascii="Arial" w:eastAsia="Times New Roman" w:hAnsi="Arial" w:cs="Arial"/>
          <w:color w:val="333333"/>
          <w:kern w:val="0"/>
          <w:sz w:val="26"/>
          <w:szCs w:val="26"/>
          <w:lang w:eastAsia="es-UY"/>
          <w14:ligatures w14:val="none"/>
        </w:rPr>
        <w:t> , que estableció el Marco Temporal como criterio para la </w:t>
      </w:r>
      <w:hyperlink r:id="rId9" w:tgtFrame="_blank" w:history="1">
        <w:r w:rsidRPr="00B12FA9">
          <w:rPr>
            <w:rFonts w:ascii="Arial" w:eastAsia="Times New Roman" w:hAnsi="Arial" w:cs="Arial"/>
            <w:color w:val="FC6B01"/>
            <w:kern w:val="0"/>
            <w:sz w:val="26"/>
            <w:szCs w:val="26"/>
            <w:u w:val="single"/>
            <w:lang w:eastAsia="es-UY"/>
            <w14:ligatures w14:val="none"/>
          </w:rPr>
          <w:t>demarcación de tierras indígenas</w:t>
        </w:r>
      </w:hyperlink>
      <w:r w:rsidRPr="00B12FA9">
        <w:rPr>
          <w:rFonts w:ascii="Arial" w:eastAsia="Times New Roman" w:hAnsi="Arial" w:cs="Arial"/>
          <w:color w:val="333333"/>
          <w:kern w:val="0"/>
          <w:sz w:val="26"/>
          <w:szCs w:val="26"/>
          <w:lang w:eastAsia="es-UY"/>
          <w14:ligatures w14:val="none"/>
        </w:rPr>
        <w:t> . En septiembre de 2023, la tesis del Marco Temporal ya había sido rechazada por el Tribunal Supremo.</w:t>
      </w:r>
    </w:p>
    <w:p w14:paraId="64382064"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En octubre de 2023, el presidente </w:t>
      </w:r>
      <w:hyperlink r:id="rId10" w:tgtFrame="_blank" w:history="1">
        <w:r w:rsidRPr="00B12FA9">
          <w:rPr>
            <w:rFonts w:ascii="Arial" w:eastAsia="Times New Roman" w:hAnsi="Arial" w:cs="Arial"/>
            <w:color w:val="FC6B01"/>
            <w:kern w:val="0"/>
            <w:sz w:val="26"/>
            <w:szCs w:val="26"/>
            <w:u w:val="single"/>
            <w:lang w:eastAsia="es-UY"/>
            <w14:ligatures w14:val="none"/>
          </w:rPr>
          <w:t>Lula</w:t>
        </w:r>
      </w:hyperlink>
      <w:r w:rsidRPr="00B12FA9">
        <w:rPr>
          <w:rFonts w:ascii="Arial" w:eastAsia="Times New Roman" w:hAnsi="Arial" w:cs="Arial"/>
          <w:color w:val="333333"/>
          <w:kern w:val="0"/>
          <w:sz w:val="26"/>
          <w:szCs w:val="26"/>
          <w:lang w:eastAsia="es-UY"/>
          <w14:ligatures w14:val="none"/>
        </w:rPr>
        <w:t> vetó partes de la ley, como la que establecía el Marco, pero los parlamentarios revocaron los vetos dos meses después. Posteriormente, los partidos Liberal, Progresista y Republicano presentaron demandas ante el Supremo Tribunal Federal (STF) solicitando el reconocimiento de la constitucionalidad de la legislación, mientras que </w:t>
      </w:r>
      <w:r w:rsidRPr="00B12FA9">
        <w:rPr>
          <w:rFonts w:ascii="Arial" w:eastAsia="Times New Roman" w:hAnsi="Arial" w:cs="Arial"/>
          <w:b/>
          <w:bCs/>
          <w:color w:val="333333"/>
          <w:kern w:val="0"/>
          <w:sz w:val="26"/>
          <w:szCs w:val="26"/>
          <w:lang w:eastAsia="es-UY"/>
          <w14:ligatures w14:val="none"/>
        </w:rPr>
        <w:t>APIB</w:t>
      </w:r>
      <w:r w:rsidRPr="00B12FA9">
        <w:rPr>
          <w:rFonts w:ascii="Arial" w:eastAsia="Times New Roman" w:hAnsi="Arial" w:cs="Arial"/>
          <w:color w:val="333333"/>
          <w:kern w:val="0"/>
          <w:sz w:val="26"/>
          <w:szCs w:val="26"/>
          <w:lang w:eastAsia="es-UY"/>
          <w14:ligatures w14:val="none"/>
        </w:rPr>
        <w:t> , </w:t>
      </w:r>
      <w:r w:rsidRPr="00B12FA9">
        <w:rPr>
          <w:rFonts w:ascii="Arial" w:eastAsia="Times New Roman" w:hAnsi="Arial" w:cs="Arial"/>
          <w:b/>
          <w:bCs/>
          <w:color w:val="333333"/>
          <w:kern w:val="0"/>
          <w:sz w:val="26"/>
          <w:szCs w:val="26"/>
          <w:lang w:eastAsia="es-UY"/>
          <w14:ligatures w14:val="none"/>
        </w:rPr>
        <w:t>Rede</w:t>
      </w:r>
      <w:r w:rsidRPr="00B12FA9">
        <w:rPr>
          <w:rFonts w:ascii="Arial" w:eastAsia="Times New Roman" w:hAnsi="Arial" w:cs="Arial"/>
          <w:color w:val="333333"/>
          <w:kern w:val="0"/>
          <w:sz w:val="26"/>
          <w:szCs w:val="26"/>
          <w:lang w:eastAsia="es-UY"/>
          <w14:ligatures w14:val="none"/>
        </w:rPr>
        <w:t> , </w:t>
      </w:r>
      <w:r w:rsidRPr="00B12FA9">
        <w:rPr>
          <w:rFonts w:ascii="Arial" w:eastAsia="Times New Roman" w:hAnsi="Arial" w:cs="Arial"/>
          <w:b/>
          <w:bCs/>
          <w:color w:val="333333"/>
          <w:kern w:val="0"/>
          <w:sz w:val="26"/>
          <w:szCs w:val="26"/>
          <w:lang w:eastAsia="es-UY"/>
          <w14:ligatures w14:val="none"/>
        </w:rPr>
        <w:t>PSOL</w:t>
      </w:r>
      <w:r w:rsidRPr="00B12FA9">
        <w:rPr>
          <w:rFonts w:ascii="Arial" w:eastAsia="Times New Roman" w:hAnsi="Arial" w:cs="Arial"/>
          <w:color w:val="333333"/>
          <w:kern w:val="0"/>
          <w:sz w:val="26"/>
          <w:szCs w:val="26"/>
          <w:lang w:eastAsia="es-UY"/>
          <w14:ligatures w14:val="none"/>
        </w:rPr>
        <w:t> , </w:t>
      </w:r>
      <w:r w:rsidRPr="00B12FA9">
        <w:rPr>
          <w:rFonts w:ascii="Arial" w:eastAsia="Times New Roman" w:hAnsi="Arial" w:cs="Arial"/>
          <w:b/>
          <w:bCs/>
          <w:color w:val="333333"/>
          <w:kern w:val="0"/>
          <w:sz w:val="26"/>
          <w:szCs w:val="26"/>
          <w:lang w:eastAsia="es-UY"/>
          <w14:ligatures w14:val="none"/>
        </w:rPr>
        <w:t>PT</w:t>
      </w:r>
      <w:r w:rsidRPr="00B12FA9">
        <w:rPr>
          <w:rFonts w:ascii="Arial" w:eastAsia="Times New Roman" w:hAnsi="Arial" w:cs="Arial"/>
          <w:color w:val="333333"/>
          <w:kern w:val="0"/>
          <w:sz w:val="26"/>
          <w:szCs w:val="26"/>
          <w:lang w:eastAsia="es-UY"/>
          <w14:ligatures w14:val="none"/>
        </w:rPr>
        <w:t> , </w:t>
      </w:r>
      <w:proofErr w:type="spellStart"/>
      <w:r w:rsidRPr="00B12FA9">
        <w:rPr>
          <w:rFonts w:ascii="Arial" w:eastAsia="Times New Roman" w:hAnsi="Arial" w:cs="Arial"/>
          <w:b/>
          <w:bCs/>
          <w:color w:val="333333"/>
          <w:kern w:val="0"/>
          <w:sz w:val="26"/>
          <w:szCs w:val="26"/>
          <w:lang w:eastAsia="es-UY"/>
          <w14:ligatures w14:val="none"/>
        </w:rPr>
        <w:t>PCdoB</w:t>
      </w:r>
      <w:proofErr w:type="spellEnd"/>
      <w:r w:rsidRPr="00B12FA9">
        <w:rPr>
          <w:rFonts w:ascii="Arial" w:eastAsia="Times New Roman" w:hAnsi="Arial" w:cs="Arial"/>
          <w:color w:val="333333"/>
          <w:kern w:val="0"/>
          <w:sz w:val="26"/>
          <w:szCs w:val="26"/>
          <w:lang w:eastAsia="es-UY"/>
          <w14:ligatures w14:val="none"/>
        </w:rPr>
        <w:t> , </w:t>
      </w:r>
      <w:r w:rsidRPr="00B12FA9">
        <w:rPr>
          <w:rFonts w:ascii="Arial" w:eastAsia="Times New Roman" w:hAnsi="Arial" w:cs="Arial"/>
          <w:b/>
          <w:bCs/>
          <w:color w:val="333333"/>
          <w:kern w:val="0"/>
          <w:sz w:val="26"/>
          <w:szCs w:val="26"/>
          <w:lang w:eastAsia="es-UY"/>
          <w14:ligatures w14:val="none"/>
        </w:rPr>
        <w:t>PV</w:t>
      </w:r>
      <w:r w:rsidRPr="00B12FA9">
        <w:rPr>
          <w:rFonts w:ascii="Arial" w:eastAsia="Times New Roman" w:hAnsi="Arial" w:cs="Arial"/>
          <w:color w:val="333333"/>
          <w:kern w:val="0"/>
          <w:sz w:val="26"/>
          <w:szCs w:val="26"/>
          <w:lang w:eastAsia="es-UY"/>
          <w14:ligatures w14:val="none"/>
        </w:rPr>
        <w:t> y </w:t>
      </w:r>
      <w:r w:rsidRPr="00B12FA9">
        <w:rPr>
          <w:rFonts w:ascii="Arial" w:eastAsia="Times New Roman" w:hAnsi="Arial" w:cs="Arial"/>
          <w:b/>
          <w:bCs/>
          <w:color w:val="333333"/>
          <w:kern w:val="0"/>
          <w:sz w:val="26"/>
          <w:szCs w:val="26"/>
          <w:lang w:eastAsia="es-UY"/>
          <w14:ligatures w14:val="none"/>
        </w:rPr>
        <w:t>PDT</w:t>
      </w:r>
      <w:r w:rsidRPr="00B12FA9">
        <w:rPr>
          <w:rFonts w:ascii="Arial" w:eastAsia="Times New Roman" w:hAnsi="Arial" w:cs="Arial"/>
          <w:color w:val="333333"/>
          <w:kern w:val="0"/>
          <w:sz w:val="26"/>
          <w:szCs w:val="26"/>
          <w:lang w:eastAsia="es-UY"/>
          <w14:ligatures w14:val="none"/>
        </w:rPr>
        <w:t> presentaron recursos de impugnación. En total, el Supremo Tribunal Federal analizará cuatro demandas sobre el tema (tres en contra del marco y una a favor). Aunque la fase de alegatos orales ya ha comenzado, aún no hay fecha fijada para la votación.</w:t>
      </w:r>
    </w:p>
    <w:p w14:paraId="583F8D9E"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“Sentimos que nuestros derechos siempre se utilizan como moneda de cambio”, explicó </w:t>
      </w:r>
      <w:r w:rsidRPr="00B12FA9">
        <w:rPr>
          <w:rFonts w:ascii="Arial" w:eastAsia="Times New Roman" w:hAnsi="Arial" w:cs="Arial"/>
          <w:b/>
          <w:bCs/>
          <w:color w:val="333333"/>
          <w:kern w:val="0"/>
          <w:sz w:val="26"/>
          <w:szCs w:val="26"/>
          <w:lang w:eastAsia="es-UY"/>
          <w14:ligatures w14:val="none"/>
        </w:rPr>
        <w:t>Ricardo Terena</w:t>
      </w:r>
      <w:r w:rsidRPr="00B12FA9">
        <w:rPr>
          <w:rFonts w:ascii="Arial" w:eastAsia="Times New Roman" w:hAnsi="Arial" w:cs="Arial"/>
          <w:color w:val="333333"/>
          <w:kern w:val="0"/>
          <w:sz w:val="26"/>
          <w:szCs w:val="26"/>
          <w:lang w:eastAsia="es-UY"/>
          <w14:ligatures w14:val="none"/>
        </w:rPr>
        <w:t xml:space="preserve"> , quien representa a los pueblos </w:t>
      </w:r>
      <w:r w:rsidRPr="00B12FA9">
        <w:rPr>
          <w:rFonts w:ascii="Arial" w:eastAsia="Times New Roman" w:hAnsi="Arial" w:cs="Arial"/>
          <w:color w:val="333333"/>
          <w:kern w:val="0"/>
          <w:sz w:val="26"/>
          <w:szCs w:val="26"/>
          <w:lang w:eastAsia="es-UY"/>
          <w14:ligatures w14:val="none"/>
        </w:rPr>
        <w:lastRenderedPageBreak/>
        <w:t>indígenas a través de </w:t>
      </w:r>
      <w:r w:rsidRPr="00B12FA9">
        <w:rPr>
          <w:rFonts w:ascii="Arial" w:eastAsia="Times New Roman" w:hAnsi="Arial" w:cs="Arial"/>
          <w:b/>
          <w:bCs/>
          <w:color w:val="333333"/>
          <w:kern w:val="0"/>
          <w:sz w:val="26"/>
          <w:szCs w:val="26"/>
          <w:lang w:eastAsia="es-UY"/>
          <w14:ligatures w14:val="none"/>
        </w:rPr>
        <w:t>APIB ante la Corte Suprema</w:t>
      </w:r>
      <w:r w:rsidRPr="00B12FA9">
        <w:rPr>
          <w:rFonts w:ascii="Arial" w:eastAsia="Times New Roman" w:hAnsi="Arial" w:cs="Arial"/>
          <w:color w:val="333333"/>
          <w:kern w:val="0"/>
          <w:sz w:val="26"/>
          <w:szCs w:val="26"/>
          <w:lang w:eastAsia="es-UY"/>
          <w14:ligatures w14:val="none"/>
        </w:rPr>
        <w:t> . El abogado cree que los pueblos indígenas están en el centro de la disputa entre los poderes.</w:t>
      </w:r>
    </w:p>
    <w:p w14:paraId="1928D8D1"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“Cuando teníamos la </w:t>
      </w:r>
      <w:r w:rsidRPr="00B12FA9">
        <w:rPr>
          <w:rFonts w:ascii="Arial" w:eastAsia="Times New Roman" w:hAnsi="Arial" w:cs="Arial"/>
          <w:b/>
          <w:bCs/>
          <w:color w:val="333333"/>
          <w:kern w:val="0"/>
          <w:sz w:val="26"/>
          <w:szCs w:val="26"/>
          <w:lang w:eastAsia="es-UY"/>
          <w14:ligatures w14:val="none"/>
        </w:rPr>
        <w:t>Constitución</w:t>
      </w:r>
      <w:r w:rsidRPr="00B12FA9">
        <w:rPr>
          <w:rFonts w:ascii="Arial" w:eastAsia="Times New Roman" w:hAnsi="Arial" w:cs="Arial"/>
          <w:color w:val="333333"/>
          <w:kern w:val="0"/>
          <w:sz w:val="26"/>
          <w:szCs w:val="26"/>
          <w:lang w:eastAsia="es-UY"/>
          <w14:ligatures w14:val="none"/>
        </w:rPr>
        <w:t> , había un plazo de cinco años para la </w:t>
      </w:r>
      <w:r w:rsidRPr="00B12FA9">
        <w:rPr>
          <w:rFonts w:ascii="Arial" w:eastAsia="Times New Roman" w:hAnsi="Arial" w:cs="Arial"/>
          <w:b/>
          <w:bCs/>
          <w:color w:val="333333"/>
          <w:kern w:val="0"/>
          <w:sz w:val="26"/>
          <w:szCs w:val="26"/>
          <w:lang w:eastAsia="es-UY"/>
          <w14:ligatures w14:val="none"/>
        </w:rPr>
        <w:t>demarcación de territorios</w:t>
      </w:r>
      <w:r w:rsidRPr="00B12FA9">
        <w:rPr>
          <w:rFonts w:ascii="Arial" w:eastAsia="Times New Roman" w:hAnsi="Arial" w:cs="Arial"/>
          <w:color w:val="333333"/>
          <w:kern w:val="0"/>
          <w:sz w:val="26"/>
          <w:szCs w:val="26"/>
          <w:lang w:eastAsia="es-UY"/>
          <w14:ligatures w14:val="none"/>
        </w:rPr>
        <w:t> , plazo que nunca se cumplió. Con el paso de los años, hemos visto una creciente relativización de nuestros derechos territoriales”, afirmó. Cree que “las comunidades indígenas han resistido todos estos ataques” y han luchado por mantener “lo que existe en la Constitución”, pero enfatiza que los pueblos ya han sentido las consecuencias del Marco Temporal. “Los conflictos territoriales se han intensificado como resultado de este debilitamiento de </w:t>
      </w:r>
      <w:hyperlink r:id="rId11" w:tgtFrame="_blank" w:history="1">
        <w:r w:rsidRPr="00B12FA9">
          <w:rPr>
            <w:rFonts w:ascii="Arial" w:eastAsia="Times New Roman" w:hAnsi="Arial" w:cs="Arial"/>
            <w:color w:val="FC6B01"/>
            <w:kern w:val="0"/>
            <w:sz w:val="26"/>
            <w:szCs w:val="26"/>
            <w:u w:val="single"/>
            <w:lang w:eastAsia="es-UY"/>
            <w14:ligatures w14:val="none"/>
          </w:rPr>
          <w:t>los derechos indígenas</w:t>
        </w:r>
      </w:hyperlink>
      <w:r w:rsidRPr="00B12FA9">
        <w:rPr>
          <w:rFonts w:ascii="Arial" w:eastAsia="Times New Roman" w:hAnsi="Arial" w:cs="Arial"/>
          <w:color w:val="333333"/>
          <w:kern w:val="0"/>
          <w:sz w:val="26"/>
          <w:szCs w:val="26"/>
          <w:lang w:eastAsia="es-UY"/>
          <w14:ligatures w14:val="none"/>
        </w:rPr>
        <w:t> ”, explica.</w:t>
      </w:r>
    </w:p>
    <w:p w14:paraId="4F128B6A"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b/>
          <w:bCs/>
          <w:color w:val="333333"/>
          <w:kern w:val="0"/>
          <w:sz w:val="26"/>
          <w:szCs w:val="26"/>
          <w:lang w:eastAsia="es-UY"/>
          <w14:ligatures w14:val="none"/>
        </w:rPr>
        <w:t>Ricardo Terena</w:t>
      </w:r>
      <w:r w:rsidRPr="00B12FA9">
        <w:rPr>
          <w:rFonts w:ascii="Arial" w:eastAsia="Times New Roman" w:hAnsi="Arial" w:cs="Arial"/>
          <w:color w:val="333333"/>
          <w:kern w:val="0"/>
          <w:sz w:val="26"/>
          <w:szCs w:val="26"/>
          <w:lang w:eastAsia="es-UY"/>
          <w14:ligatures w14:val="none"/>
        </w:rPr>
        <w:t> también destaca la importancia del liderazgo indígena en la lucha por la causa, evidenciada por la presencia de abogados indígenas en los alegatos orales. "La presencia de abogados indígenas va más allá de la simple actuación de un abogado; es llevar la experiencia vivida de los territorios a la sala del tribunal", afirma. "Somos beneficiarios de la causa y quienes sufriremos las consecuencias de esta sentencia", concluye.</w:t>
      </w:r>
    </w:p>
    <w:p w14:paraId="157B31E9" w14:textId="77777777" w:rsidR="00B12FA9" w:rsidRPr="00B12FA9" w:rsidRDefault="00B12FA9" w:rsidP="00B12FA9">
      <w:pPr>
        <w:spacing w:after="0" w:line="240" w:lineRule="auto"/>
        <w:jc w:val="both"/>
        <w:outlineLvl w:val="1"/>
        <w:rPr>
          <w:rFonts w:ascii="Arial" w:eastAsia="Times New Roman" w:hAnsi="Arial" w:cs="Arial"/>
          <w:b/>
          <w:bCs/>
          <w:color w:val="333333"/>
          <w:kern w:val="0"/>
          <w:sz w:val="36"/>
          <w:szCs w:val="36"/>
          <w:lang w:eastAsia="es-UY"/>
          <w14:ligatures w14:val="none"/>
        </w:rPr>
      </w:pPr>
      <w:r w:rsidRPr="00B12FA9">
        <w:rPr>
          <w:rFonts w:ascii="Arial" w:eastAsia="Times New Roman" w:hAnsi="Arial" w:cs="Arial"/>
          <w:b/>
          <w:bCs/>
          <w:color w:val="333333"/>
          <w:kern w:val="0"/>
          <w:sz w:val="36"/>
          <w:szCs w:val="36"/>
          <w:lang w:eastAsia="es-UY"/>
          <w14:ligatures w14:val="none"/>
        </w:rPr>
        <w:t>La sentencia del Marco Temporal no se refiere únicamente al Marco Temporal.</w:t>
      </w:r>
    </w:p>
    <w:p w14:paraId="3236674D"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A diferencia de la sentencia de septiembre de 2023, el debate actual aborda el tema desde una perspectiva más amplia, ya que la ley "plantea otras cuestiones que van más allá del marco temporal", explica el abogado. La legislación modifica, por ejemplo, detalles sobre el proceso de demarcación.</w:t>
      </w:r>
    </w:p>
    <w:p w14:paraId="6C25BC87"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Así, </w:t>
      </w:r>
      <w:r w:rsidRPr="00B12FA9">
        <w:rPr>
          <w:rFonts w:ascii="Arial" w:eastAsia="Times New Roman" w:hAnsi="Arial" w:cs="Arial"/>
          <w:b/>
          <w:bCs/>
          <w:color w:val="333333"/>
          <w:kern w:val="0"/>
          <w:sz w:val="26"/>
          <w:szCs w:val="26"/>
          <w:lang w:eastAsia="es-UY"/>
          <w14:ligatures w14:val="none"/>
        </w:rPr>
        <w:t>Ricardo Terena</w:t>
      </w:r>
      <w:r w:rsidRPr="00B12FA9">
        <w:rPr>
          <w:rFonts w:ascii="Arial" w:eastAsia="Times New Roman" w:hAnsi="Arial" w:cs="Arial"/>
          <w:color w:val="333333"/>
          <w:kern w:val="0"/>
          <w:sz w:val="26"/>
          <w:szCs w:val="26"/>
          <w:lang w:eastAsia="es-UY"/>
          <w14:ligatures w14:val="none"/>
        </w:rPr>
        <w:t> explica que, durante el primer día de alegatos orales, los representantes de la agroindustria incluyeron en sus argumentos la defensa de otras medidas que "inviabilizan la </w:t>
      </w:r>
      <w:r w:rsidRPr="00B12FA9">
        <w:rPr>
          <w:rFonts w:ascii="Arial" w:eastAsia="Times New Roman" w:hAnsi="Arial" w:cs="Arial"/>
          <w:b/>
          <w:bCs/>
          <w:color w:val="333333"/>
          <w:kern w:val="0"/>
          <w:sz w:val="26"/>
          <w:szCs w:val="26"/>
          <w:lang w:eastAsia="es-UY"/>
          <w14:ligatures w14:val="none"/>
        </w:rPr>
        <w:t>demarcación de territorios</w:t>
      </w:r>
      <w:r w:rsidRPr="00B12FA9">
        <w:rPr>
          <w:rFonts w:ascii="Arial" w:eastAsia="Times New Roman" w:hAnsi="Arial" w:cs="Arial"/>
          <w:color w:val="333333"/>
          <w:kern w:val="0"/>
          <w:sz w:val="26"/>
          <w:szCs w:val="26"/>
          <w:lang w:eastAsia="es-UY"/>
          <w14:ligatures w14:val="none"/>
        </w:rPr>
        <w:t> ". "Se centran en debatir el marco temporal, pero también otros temas, como la expropiación por interés social y otros aspectos relacionados con el procedimiento administrativo de demarcación", afirmó. El abogado cita que, por ejemplo, se cuestionó la validez del informe antropológico como prueba en sí mismo para la demarcación de tierras indígenas.</w:t>
      </w:r>
    </w:p>
    <w:p w14:paraId="7EBE72C9"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Además de refutar a quienes consideran un retroceso los procedimientos de demarcación, el abogado explica que </w:t>
      </w:r>
      <w:r w:rsidRPr="00B12FA9">
        <w:rPr>
          <w:rFonts w:ascii="Arial" w:eastAsia="Times New Roman" w:hAnsi="Arial" w:cs="Arial"/>
          <w:b/>
          <w:bCs/>
          <w:color w:val="333333"/>
          <w:kern w:val="0"/>
          <w:sz w:val="26"/>
          <w:szCs w:val="26"/>
          <w:lang w:eastAsia="es-UY"/>
          <w14:ligatures w14:val="none"/>
        </w:rPr>
        <w:t>APIB</w:t>
      </w:r>
      <w:r w:rsidRPr="00B12FA9">
        <w:rPr>
          <w:rFonts w:ascii="Arial" w:eastAsia="Times New Roman" w:hAnsi="Arial" w:cs="Arial"/>
          <w:color w:val="333333"/>
          <w:kern w:val="0"/>
          <w:sz w:val="26"/>
          <w:szCs w:val="26"/>
          <w:lang w:eastAsia="es-UY"/>
          <w14:ligatures w14:val="none"/>
        </w:rPr>
        <w:t> también utilizó la plataforma para defender la necesidad de "redimensionar el territorio indígena para corregir errores" en procesos de demarcación pasados, ya que varias tierras indígenas supuestamente son más pequeñas de lo que deberían ser.</w:t>
      </w:r>
    </w:p>
    <w:p w14:paraId="6B469103" w14:textId="77777777" w:rsidR="00B12FA9" w:rsidRPr="00B12FA9" w:rsidRDefault="00B12FA9" w:rsidP="00B12FA9">
      <w:pPr>
        <w:spacing w:after="0" w:line="240" w:lineRule="auto"/>
        <w:jc w:val="both"/>
        <w:rPr>
          <w:rFonts w:ascii="Arial" w:eastAsia="Times New Roman" w:hAnsi="Arial" w:cs="Arial"/>
          <w:color w:val="333333"/>
          <w:kern w:val="0"/>
          <w:sz w:val="26"/>
          <w:szCs w:val="26"/>
          <w:lang w:eastAsia="es-UY"/>
          <w14:ligatures w14:val="none"/>
        </w:rPr>
      </w:pPr>
      <w:r w:rsidRPr="00B12FA9">
        <w:rPr>
          <w:rFonts w:ascii="Arial" w:eastAsia="Times New Roman" w:hAnsi="Arial" w:cs="Arial"/>
          <w:color w:val="333333"/>
          <w:kern w:val="0"/>
          <w:sz w:val="26"/>
          <w:szCs w:val="26"/>
          <w:lang w:eastAsia="es-UY"/>
          <w14:ligatures w14:val="none"/>
        </w:rPr>
        <w:t>Aunque se encuentra en disputa, el </w:t>
      </w:r>
      <w:hyperlink r:id="rId12" w:tgtFrame="_blank" w:history="1">
        <w:r w:rsidRPr="00B12FA9">
          <w:rPr>
            <w:rFonts w:ascii="Arial" w:eastAsia="Times New Roman" w:hAnsi="Arial" w:cs="Arial"/>
            <w:color w:val="FC6B01"/>
            <w:kern w:val="0"/>
            <w:sz w:val="26"/>
            <w:szCs w:val="26"/>
            <w:u w:val="single"/>
            <w:lang w:eastAsia="es-UY"/>
            <w14:ligatures w14:val="none"/>
          </w:rPr>
          <w:t>Marco Temporal</w:t>
        </w:r>
      </w:hyperlink>
      <w:r w:rsidRPr="00B12FA9">
        <w:rPr>
          <w:rFonts w:ascii="Arial" w:eastAsia="Times New Roman" w:hAnsi="Arial" w:cs="Arial"/>
          <w:color w:val="333333"/>
          <w:kern w:val="0"/>
          <w:sz w:val="26"/>
          <w:szCs w:val="26"/>
          <w:lang w:eastAsia="es-UY"/>
          <w14:ligatures w14:val="none"/>
        </w:rPr>
        <w:t> ya ha afectado territorios indígenas. En 2023, </w:t>
      </w:r>
      <w:r w:rsidRPr="00B12FA9">
        <w:rPr>
          <w:rFonts w:ascii="Arial" w:eastAsia="Times New Roman" w:hAnsi="Arial" w:cs="Arial"/>
          <w:b/>
          <w:bCs/>
          <w:color w:val="333333"/>
          <w:kern w:val="0"/>
          <w:sz w:val="26"/>
          <w:szCs w:val="26"/>
          <w:lang w:eastAsia="es-UY"/>
          <w14:ligatures w14:val="none"/>
        </w:rPr>
        <w:t>Pública</w:t>
      </w:r>
      <w:r w:rsidRPr="00B12FA9">
        <w:rPr>
          <w:rFonts w:ascii="Arial" w:eastAsia="Times New Roman" w:hAnsi="Arial" w:cs="Arial"/>
          <w:color w:val="333333"/>
          <w:kern w:val="0"/>
          <w:sz w:val="26"/>
          <w:szCs w:val="26"/>
          <w:lang w:eastAsia="es-UY"/>
          <w14:ligatures w14:val="none"/>
        </w:rPr>
        <w:t> reveló que este argumento se utilizó para anular el decreto que declaró un territorio indígena en el oeste </w:t>
      </w:r>
      <w:hyperlink r:id="rId13" w:tgtFrame="_blank" w:history="1">
        <w:r w:rsidRPr="00B12FA9">
          <w:rPr>
            <w:rFonts w:ascii="Arial" w:eastAsia="Times New Roman" w:hAnsi="Arial" w:cs="Arial"/>
            <w:color w:val="FC6B01"/>
            <w:kern w:val="0"/>
            <w:sz w:val="26"/>
            <w:szCs w:val="26"/>
            <w:u w:val="single"/>
            <w:lang w:eastAsia="es-UY"/>
            <w14:ligatures w14:val="none"/>
          </w:rPr>
          <w:t>de Santa Catarina</w:t>
        </w:r>
      </w:hyperlink>
      <w:r w:rsidRPr="00B12FA9">
        <w:rPr>
          <w:rFonts w:ascii="Arial" w:eastAsia="Times New Roman" w:hAnsi="Arial" w:cs="Arial"/>
          <w:color w:val="333333"/>
          <w:kern w:val="0"/>
          <w:sz w:val="26"/>
          <w:szCs w:val="26"/>
          <w:lang w:eastAsia="es-UY"/>
          <w14:ligatures w14:val="none"/>
        </w:rPr>
        <w:t> . Se suponía que el área de 3.000 hectáreas estaría habitada por miembros del </w:t>
      </w:r>
      <w:r w:rsidRPr="00B12FA9">
        <w:rPr>
          <w:rFonts w:ascii="Arial" w:eastAsia="Times New Roman" w:hAnsi="Arial" w:cs="Arial"/>
          <w:b/>
          <w:bCs/>
          <w:color w:val="333333"/>
          <w:kern w:val="0"/>
          <w:sz w:val="26"/>
          <w:szCs w:val="26"/>
          <w:lang w:eastAsia="es-UY"/>
          <w14:ligatures w14:val="none"/>
        </w:rPr>
        <w:t xml:space="preserve">pueblo guaraní de </w:t>
      </w:r>
      <w:proofErr w:type="spellStart"/>
      <w:r w:rsidRPr="00B12FA9">
        <w:rPr>
          <w:rFonts w:ascii="Arial" w:eastAsia="Times New Roman" w:hAnsi="Arial" w:cs="Arial"/>
          <w:b/>
          <w:bCs/>
          <w:color w:val="333333"/>
          <w:kern w:val="0"/>
          <w:sz w:val="26"/>
          <w:szCs w:val="26"/>
          <w:lang w:eastAsia="es-UY"/>
          <w14:ligatures w14:val="none"/>
        </w:rPr>
        <w:t>Araça'í</w:t>
      </w:r>
      <w:proofErr w:type="spellEnd"/>
      <w:r w:rsidRPr="00B12FA9">
        <w:rPr>
          <w:rFonts w:ascii="Arial" w:eastAsia="Times New Roman" w:hAnsi="Arial" w:cs="Arial"/>
          <w:color w:val="333333"/>
          <w:kern w:val="0"/>
          <w:sz w:val="26"/>
          <w:szCs w:val="26"/>
          <w:lang w:eastAsia="es-UY"/>
          <w14:ligatures w14:val="none"/>
        </w:rPr>
        <w:t> , quienes seguían reclamando la tierra, pero actualmente vivían </w:t>
      </w:r>
      <w:r w:rsidRPr="00B12FA9">
        <w:rPr>
          <w:rFonts w:ascii="Arial" w:eastAsia="Times New Roman" w:hAnsi="Arial" w:cs="Arial"/>
          <w:b/>
          <w:bCs/>
          <w:color w:val="333333"/>
          <w:kern w:val="0"/>
          <w:sz w:val="26"/>
          <w:szCs w:val="26"/>
          <w:lang w:eastAsia="es-UY"/>
          <w14:ligatures w14:val="none"/>
        </w:rPr>
        <w:t>allí</w:t>
      </w:r>
      <w:r w:rsidRPr="00B12FA9">
        <w:rPr>
          <w:rFonts w:ascii="Arial" w:eastAsia="Times New Roman" w:hAnsi="Arial" w:cs="Arial"/>
          <w:color w:val="333333"/>
          <w:kern w:val="0"/>
          <w:sz w:val="26"/>
          <w:szCs w:val="26"/>
          <w:lang w:eastAsia="es-UY"/>
          <w14:ligatures w14:val="none"/>
        </w:rPr>
        <w:t xml:space="preserve"> como "favores" </w:t>
      </w:r>
      <w:r w:rsidRPr="00B12FA9">
        <w:rPr>
          <w:rFonts w:ascii="Arial" w:eastAsia="Times New Roman" w:hAnsi="Arial" w:cs="Arial"/>
          <w:color w:val="333333"/>
          <w:kern w:val="0"/>
          <w:sz w:val="26"/>
          <w:szCs w:val="26"/>
          <w:lang w:eastAsia="es-UY"/>
          <w14:ligatures w14:val="none"/>
        </w:rPr>
        <w:lastRenderedPageBreak/>
        <w:t>de otro grupo. El censo de 2022 reveló que las 336 personas que vivían en la región no eran indígenas.</w:t>
      </w:r>
    </w:p>
    <w:p w14:paraId="0647F6B2" w14:textId="77777777" w:rsidR="00926044" w:rsidRDefault="00926044"/>
    <w:p w14:paraId="25A1ACC8" w14:textId="0A111876" w:rsidR="00B12FA9" w:rsidRDefault="00B12FA9">
      <w:hyperlink r:id="rId14" w:history="1">
        <w:r w:rsidRPr="007943CB">
          <w:rPr>
            <w:rStyle w:val="Hipervnculo"/>
          </w:rPr>
          <w:t>https://www.ihu.unisinos.br/661225-direito-indigena-e-moeda-de-troca-em-disputa-entre-congresso-e-stf-diz-advogado-indigena</w:t>
        </w:r>
      </w:hyperlink>
    </w:p>
    <w:p w14:paraId="593AAFDD" w14:textId="77777777" w:rsidR="00B12FA9" w:rsidRDefault="00B12FA9"/>
    <w:sectPr w:rsidR="00B12F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9"/>
    <w:rsid w:val="00536DAF"/>
    <w:rsid w:val="00926044"/>
    <w:rsid w:val="00B12FA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E1B6"/>
  <w15:chartTrackingRefBased/>
  <w15:docId w15:val="{757B4A63-70B7-4D7D-ACA0-7C41B836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2F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2F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2F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2F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2F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2F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2F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F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2F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2F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2F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2F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2F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2F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2F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2FA9"/>
    <w:rPr>
      <w:rFonts w:eastAsiaTheme="majorEastAsia" w:cstheme="majorBidi"/>
      <w:color w:val="272727" w:themeColor="text1" w:themeTint="D8"/>
    </w:rPr>
  </w:style>
  <w:style w:type="paragraph" w:styleId="Ttulo">
    <w:name w:val="Title"/>
    <w:basedOn w:val="Normal"/>
    <w:next w:val="Normal"/>
    <w:link w:val="TtuloCar"/>
    <w:uiPriority w:val="10"/>
    <w:qFormat/>
    <w:rsid w:val="00B1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2F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2F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2F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2FA9"/>
    <w:pPr>
      <w:spacing w:before="160"/>
      <w:jc w:val="center"/>
    </w:pPr>
    <w:rPr>
      <w:i/>
      <w:iCs/>
      <w:color w:val="404040" w:themeColor="text1" w:themeTint="BF"/>
    </w:rPr>
  </w:style>
  <w:style w:type="character" w:customStyle="1" w:styleId="CitaCar">
    <w:name w:val="Cita Car"/>
    <w:basedOn w:val="Fuentedeprrafopredeter"/>
    <w:link w:val="Cita"/>
    <w:uiPriority w:val="29"/>
    <w:rsid w:val="00B12FA9"/>
    <w:rPr>
      <w:i/>
      <w:iCs/>
      <w:color w:val="404040" w:themeColor="text1" w:themeTint="BF"/>
    </w:rPr>
  </w:style>
  <w:style w:type="paragraph" w:styleId="Prrafodelista">
    <w:name w:val="List Paragraph"/>
    <w:basedOn w:val="Normal"/>
    <w:uiPriority w:val="34"/>
    <w:qFormat/>
    <w:rsid w:val="00B12FA9"/>
    <w:pPr>
      <w:ind w:left="720"/>
      <w:contextualSpacing/>
    </w:pPr>
  </w:style>
  <w:style w:type="character" w:styleId="nfasisintenso">
    <w:name w:val="Intense Emphasis"/>
    <w:basedOn w:val="Fuentedeprrafopredeter"/>
    <w:uiPriority w:val="21"/>
    <w:qFormat/>
    <w:rsid w:val="00B12FA9"/>
    <w:rPr>
      <w:i/>
      <w:iCs/>
      <w:color w:val="0F4761" w:themeColor="accent1" w:themeShade="BF"/>
    </w:rPr>
  </w:style>
  <w:style w:type="paragraph" w:styleId="Citadestacada">
    <w:name w:val="Intense Quote"/>
    <w:basedOn w:val="Normal"/>
    <w:next w:val="Normal"/>
    <w:link w:val="CitadestacadaCar"/>
    <w:uiPriority w:val="30"/>
    <w:qFormat/>
    <w:rsid w:val="00B1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2FA9"/>
    <w:rPr>
      <w:i/>
      <w:iCs/>
      <w:color w:val="0F4761" w:themeColor="accent1" w:themeShade="BF"/>
    </w:rPr>
  </w:style>
  <w:style w:type="character" w:styleId="Referenciaintensa">
    <w:name w:val="Intense Reference"/>
    <w:basedOn w:val="Fuentedeprrafopredeter"/>
    <w:uiPriority w:val="32"/>
    <w:qFormat/>
    <w:rsid w:val="00B12FA9"/>
    <w:rPr>
      <w:b/>
      <w:bCs/>
      <w:smallCaps/>
      <w:color w:val="0F4761" w:themeColor="accent1" w:themeShade="BF"/>
      <w:spacing w:val="5"/>
    </w:rPr>
  </w:style>
  <w:style w:type="character" w:styleId="Hipervnculo">
    <w:name w:val="Hyperlink"/>
    <w:basedOn w:val="Fuentedeprrafopredeter"/>
    <w:uiPriority w:val="99"/>
    <w:unhideWhenUsed/>
    <w:rsid w:val="00B12FA9"/>
    <w:rPr>
      <w:color w:val="467886" w:themeColor="hyperlink"/>
      <w:u w:val="single"/>
    </w:rPr>
  </w:style>
  <w:style w:type="character" w:styleId="Mencinsinresolver">
    <w:name w:val="Unresolved Mention"/>
    <w:basedOn w:val="Fuentedeprrafopredeter"/>
    <w:uiPriority w:val="99"/>
    <w:semiHidden/>
    <w:unhideWhenUsed/>
    <w:rsid w:val="00B1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42977-indigenas-se-retiram-de-conciliacao-forcada-sobre-lei-14-701-no-stf" TargetMode="External"/><Relationship Id="rId13" Type="http://schemas.openxmlformats.org/officeDocument/2006/relationships/hyperlink" Target="https://ihu.unisinos.br/categorias/625737-marco-temporal-ameaca-terra-indigena-em-santa-catarina" TargetMode="External"/><Relationship Id="rId3" Type="http://schemas.openxmlformats.org/officeDocument/2006/relationships/webSettings" Target="webSettings.xml"/><Relationship Id="rId7" Type="http://schemas.openxmlformats.org/officeDocument/2006/relationships/hyperlink" Target="https://ihu.unisinos.br/653080-sem-demarcacao-nao-ha-clima-povos-indigenas-cobram-protagonismo-em-decisoes-ambientais" TargetMode="External"/><Relationship Id="rId12" Type="http://schemas.openxmlformats.org/officeDocument/2006/relationships/hyperlink" Target="https://www.ihu.unisinos.br/661094-senado-aprova-a-pec-48-2023-do-marco-temporal-artigo-de-roberto-liebgot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hu.unisinos.br/categorias/661209-indigenas-cercados-ruralistas-contra-atacam-artigo-de-gabriel-vilardi" TargetMode="External"/><Relationship Id="rId11" Type="http://schemas.openxmlformats.org/officeDocument/2006/relationships/hyperlink" Target="https://www.ihu.unisinos.br/categorias/661015-stf-e-direitos-indigenas-quando-havera-justica-aos-povos-originarios-artigo-do-cardeal-leonardo-steiner" TargetMode="External"/><Relationship Id="rId5" Type="http://schemas.openxmlformats.org/officeDocument/2006/relationships/hyperlink" Target="https://ihu.unisinos.br/661096-marco-temporal-o-absurdo-como-politica-de-estado-artigo-de-dora-nassif" TargetMode="External"/><Relationship Id="rId15" Type="http://schemas.openxmlformats.org/officeDocument/2006/relationships/fontTable" Target="fontTable.xml"/><Relationship Id="rId10" Type="http://schemas.openxmlformats.org/officeDocument/2006/relationships/hyperlink" Target="https://ihu.unisinos.br/660199-governo-homologa-quatro-terras-indigenas-e-avanca-com-mais-10-demarcacoes" TargetMode="External"/><Relationship Id="rId4" Type="http://schemas.openxmlformats.org/officeDocument/2006/relationships/image" Target="media/image1.png"/><Relationship Id="rId9" Type="http://schemas.openxmlformats.org/officeDocument/2006/relationships/hyperlink" Target="https://ihu.unisinos.br/categorias/660196-nota-do-cimi-atos-administrativos-de-demarcacao-sao-fruto-incontestavel-da-luta-permanente-dos-povos-indigenas" TargetMode="External"/><Relationship Id="rId14" Type="http://schemas.openxmlformats.org/officeDocument/2006/relationships/hyperlink" Target="https://www.ihu.unisinos.br/661225-direito-indigena-e-moeda-de-troca-em-disputa-entre-congresso-e-stf-diz-advogado-indige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5693</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2025-12-15T16:19:00Z</dcterms:created>
  <dcterms:modified xsi:type="dcterms:W3CDTF">2025-12-15T16:20:00Z</dcterms:modified>
</cp:coreProperties>
</file>