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B530" w14:textId="77777777" w:rsidR="005A5CE6" w:rsidRPr="005A5CE6" w:rsidRDefault="005A5CE6" w:rsidP="005A5CE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5A5CE6">
        <w:rPr>
          <w:rFonts w:ascii="Arial" w:eastAsia="Times New Roman" w:hAnsi="Arial" w:cs="Arial"/>
          <w:b/>
          <w:bCs/>
          <w:color w:val="000000"/>
          <w:kern w:val="0"/>
          <w:sz w:val="36"/>
          <w:szCs w:val="36"/>
          <w:lang w:val="es-ES_tradnl" w:eastAsia="es-UY"/>
          <w14:ligatures w14:val="none"/>
        </w:rPr>
        <w:t>Un aporte a la visita de los magos y magas a “adorar al rey”</w:t>
      </w:r>
    </w:p>
    <w:p w14:paraId="2BE7B29D" w14:textId="77777777" w:rsidR="005A5CE6" w:rsidRPr="005A5CE6" w:rsidRDefault="005A5CE6" w:rsidP="005A5CE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5A5CE6">
        <w:rPr>
          <w:rFonts w:ascii="Arial" w:eastAsia="Times New Roman" w:hAnsi="Arial" w:cs="Arial"/>
          <w:i/>
          <w:iCs/>
          <w:color w:val="000000"/>
          <w:kern w:val="0"/>
          <w:sz w:val="27"/>
          <w:szCs w:val="27"/>
          <w:lang w:val="es-ES_tradnl" w:eastAsia="es-UY"/>
          <w14:ligatures w14:val="none"/>
        </w:rPr>
        <w:t>Eduardo de la Serna</w:t>
      </w:r>
    </w:p>
    <w:p w14:paraId="72BC0DC2" w14:textId="77777777" w:rsidR="005A5CE6" w:rsidRPr="005A5CE6" w:rsidRDefault="005A5CE6" w:rsidP="005A5CE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3368B012" w14:textId="77777777" w:rsidR="005A5CE6" w:rsidRPr="005A5CE6" w:rsidRDefault="005A5CE6" w:rsidP="005A5CE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5A5CE6">
        <w:rPr>
          <w:rFonts w:ascii="Arial" w:eastAsia="Times New Roman" w:hAnsi="Arial" w:cs="Arial"/>
          <w:noProof/>
          <w:color w:val="1155CC"/>
          <w:kern w:val="0"/>
          <w:sz w:val="27"/>
          <w:szCs w:val="27"/>
          <w:lang w:eastAsia="es-UY"/>
          <w14:ligatures w14:val="none"/>
        </w:rPr>
        <w:drawing>
          <wp:inline distT="0" distB="0" distL="0" distR="0" wp14:anchorId="232AAB06" wp14:editId="765039BC">
            <wp:extent cx="3810000" cy="3810000"/>
            <wp:effectExtent l="0" t="0" r="0" b="0"/>
            <wp:docPr id="1" name="Imagen 1" descr="Un grupo de personas posando para la cámara con un fondo de colores&#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posando para la cámara con un fondo de colores&#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523763A7" w14:textId="77777777" w:rsidR="005A5CE6" w:rsidRPr="005A5CE6" w:rsidRDefault="005A5CE6" w:rsidP="005A5CE6">
      <w:pPr>
        <w:shd w:val="clear" w:color="auto" w:fill="FFFFFF"/>
        <w:spacing w:after="270" w:line="240" w:lineRule="auto"/>
        <w:jc w:val="center"/>
        <w:rPr>
          <w:rFonts w:ascii="Times New Roman" w:eastAsia="Times New Roman" w:hAnsi="Times New Roman" w:cs="Times New Roman"/>
          <w:color w:val="000000"/>
          <w:kern w:val="0"/>
          <w:sz w:val="27"/>
          <w:szCs w:val="27"/>
          <w:lang w:eastAsia="es-UY"/>
          <w14:ligatures w14:val="none"/>
        </w:rPr>
      </w:pPr>
    </w:p>
    <w:p w14:paraId="31F6D197"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A5CE6">
        <w:rPr>
          <w:rFonts w:ascii="Arial" w:eastAsia="Times New Roman" w:hAnsi="Arial" w:cs="Arial"/>
          <w:color w:val="000000"/>
          <w:kern w:val="0"/>
          <w:sz w:val="27"/>
          <w:szCs w:val="27"/>
          <w:lang w:val="es-ES_tradnl" w:eastAsia="es-UY"/>
          <w14:ligatures w14:val="none"/>
        </w:rPr>
        <w:t>Es sabido que, en casi toda la Biblia (siempre hay excepciones) los extranjeros son mirados con desprecio, son como “perros”, o, sencillamente “paganos”.</w:t>
      </w:r>
    </w:p>
    <w:p w14:paraId="64D3521D"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020E96"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A5CE6">
        <w:rPr>
          <w:rFonts w:ascii="Arial" w:eastAsia="Times New Roman" w:hAnsi="Arial" w:cs="Arial"/>
          <w:color w:val="000000"/>
          <w:kern w:val="0"/>
          <w:sz w:val="27"/>
          <w:szCs w:val="27"/>
          <w:lang w:val="es-ES_tradnl" w:eastAsia="es-UY"/>
          <w14:ligatures w14:val="none"/>
        </w:rPr>
        <w:t>El texto de Mateo de la visita de los Magos al niño Jesús es, ciertamente, provocador, ya que contrasta, por un lado, unos “magos de oriente” (2,1) con “toda Jerusalén” (2,3) y “todos los sumo sacerdotes” (2,4), unos informados por una estrella (2,2), los otros por las Escrituras del lugar del nacimiento (2,5), unos que quieren adorarlo (2,2), otro que quiere asesinarlo (2,13; ver 2,8)… esto expresado en el más provocador aún diálogo de los magos “al rey” Herodes preguntándole por “el rey de los judíos” (2,2). Curiosamente, Mateo (como lo hace en todo su evangelio), toma como propia la perspectiva de los márgenes, paganos y magos, en este caso… Y, como hemos señalado, no se indica ni que sean reyes, ni su número, ni, tampoco su género…</w:t>
      </w:r>
    </w:p>
    <w:p w14:paraId="5BF6411F"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12D17AF"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A5CE6">
        <w:rPr>
          <w:rFonts w:ascii="Arial" w:eastAsia="Times New Roman" w:hAnsi="Arial" w:cs="Arial"/>
          <w:color w:val="000000"/>
          <w:kern w:val="0"/>
          <w:sz w:val="27"/>
          <w:szCs w:val="27"/>
          <w:lang w:val="es-ES_tradnl" w:eastAsia="es-UY"/>
          <w14:ligatures w14:val="none"/>
        </w:rPr>
        <w:lastRenderedPageBreak/>
        <w:t>Podemos imaginar, fácilmente, que ese movimiento de Oriente hacia Jerusalén / Belén difícilmente lo hayan hecho los magos en soledad más allá de la imaginería e iconografía tradicional.</w:t>
      </w:r>
    </w:p>
    <w:p w14:paraId="09F24AC0"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F2A67BD"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A5CE6">
        <w:rPr>
          <w:rFonts w:ascii="Arial" w:eastAsia="Times New Roman" w:hAnsi="Arial" w:cs="Arial"/>
          <w:color w:val="000000"/>
          <w:kern w:val="0"/>
          <w:sz w:val="27"/>
          <w:szCs w:val="27"/>
          <w:lang w:val="es-ES_tradnl" w:eastAsia="es-UY"/>
          <w14:ligatures w14:val="none"/>
        </w:rPr>
        <w:t xml:space="preserve">Es bueno notar un texto del A.T. que guarda interesantes semejanzas con este: se trata de la visita a Salomón (para conocer su sabiduría) por parte de la reina de </w:t>
      </w:r>
      <w:proofErr w:type="spellStart"/>
      <w:r w:rsidRPr="005A5CE6">
        <w:rPr>
          <w:rFonts w:ascii="Arial" w:eastAsia="Times New Roman" w:hAnsi="Arial" w:cs="Arial"/>
          <w:color w:val="000000"/>
          <w:kern w:val="0"/>
          <w:sz w:val="27"/>
          <w:szCs w:val="27"/>
          <w:lang w:val="es-ES_tradnl" w:eastAsia="es-UY"/>
          <w14:ligatures w14:val="none"/>
        </w:rPr>
        <w:t>Sabá</w:t>
      </w:r>
      <w:proofErr w:type="spellEnd"/>
      <w:r w:rsidRPr="005A5CE6">
        <w:rPr>
          <w:rFonts w:ascii="Arial" w:eastAsia="Times New Roman" w:hAnsi="Arial" w:cs="Arial"/>
          <w:color w:val="000000"/>
          <w:kern w:val="0"/>
          <w:sz w:val="27"/>
          <w:szCs w:val="27"/>
          <w:lang w:val="es-ES_tradnl" w:eastAsia="es-UY"/>
          <w14:ligatures w14:val="none"/>
        </w:rPr>
        <w:t xml:space="preserve">. El acento está puesto en ella, pero, ciertamente viaja con su séquito (1 </w:t>
      </w:r>
      <w:proofErr w:type="gramStart"/>
      <w:r w:rsidRPr="005A5CE6">
        <w:rPr>
          <w:rFonts w:ascii="Arial" w:eastAsia="Times New Roman" w:hAnsi="Arial" w:cs="Arial"/>
          <w:color w:val="000000"/>
          <w:kern w:val="0"/>
          <w:sz w:val="27"/>
          <w:szCs w:val="27"/>
          <w:lang w:val="es-ES_tradnl" w:eastAsia="es-UY"/>
          <w14:ligatures w14:val="none"/>
        </w:rPr>
        <w:t>Re 10,11</w:t>
      </w:r>
      <w:proofErr w:type="gramEnd"/>
      <w:r w:rsidRPr="005A5CE6">
        <w:rPr>
          <w:rFonts w:ascii="Arial" w:eastAsia="Times New Roman" w:hAnsi="Arial" w:cs="Arial"/>
          <w:color w:val="000000"/>
          <w:kern w:val="0"/>
          <w:sz w:val="27"/>
          <w:szCs w:val="27"/>
          <w:lang w:val="es-ES_tradnl" w:eastAsia="es-UY"/>
          <w14:ligatures w14:val="none"/>
        </w:rPr>
        <w:t>). Ella le regala a Salomón oro y perfumes (10,2.10). Esa imagen, además, está vigente en Isaías: “</w:t>
      </w:r>
      <w:r w:rsidRPr="005A5CE6">
        <w:rPr>
          <w:rFonts w:ascii="Arial" w:eastAsia="Times New Roman" w:hAnsi="Arial" w:cs="Arial"/>
          <w:color w:val="000000"/>
          <w:kern w:val="0"/>
          <w:sz w:val="27"/>
          <w:szCs w:val="27"/>
          <w:lang w:eastAsia="es-UY"/>
          <w14:ligatures w14:val="none"/>
        </w:rPr>
        <w:t xml:space="preserve">Vienen todos de </w:t>
      </w:r>
      <w:proofErr w:type="spellStart"/>
      <w:r w:rsidRPr="005A5CE6">
        <w:rPr>
          <w:rFonts w:ascii="Arial" w:eastAsia="Times New Roman" w:hAnsi="Arial" w:cs="Arial"/>
          <w:color w:val="000000"/>
          <w:kern w:val="0"/>
          <w:sz w:val="27"/>
          <w:szCs w:val="27"/>
          <w:lang w:eastAsia="es-UY"/>
          <w14:ligatures w14:val="none"/>
        </w:rPr>
        <w:t>Sabá</w:t>
      </w:r>
      <w:proofErr w:type="spellEnd"/>
      <w:r w:rsidRPr="005A5CE6">
        <w:rPr>
          <w:rFonts w:ascii="Arial" w:eastAsia="Times New Roman" w:hAnsi="Arial" w:cs="Arial"/>
          <w:color w:val="000000"/>
          <w:kern w:val="0"/>
          <w:sz w:val="27"/>
          <w:szCs w:val="27"/>
          <w:lang w:eastAsia="es-UY"/>
          <w14:ligatures w14:val="none"/>
        </w:rPr>
        <w:t>, trayendo incienso y oro y proclamando las alabanzas del Señor” (Isa 60,6). El incienso y la mirra son los perfumes exquisitos que se destacan con frecuencia </w:t>
      </w:r>
      <w:r w:rsidRPr="005A5CE6">
        <w:rPr>
          <w:rFonts w:ascii="Arial" w:eastAsia="Times New Roman" w:hAnsi="Arial" w:cs="Arial"/>
          <w:color w:val="000000"/>
          <w:kern w:val="0"/>
          <w:sz w:val="27"/>
          <w:szCs w:val="27"/>
          <w:lang w:val="es-ES_tradnl" w:eastAsia="es-UY"/>
          <w14:ligatures w14:val="none"/>
        </w:rPr>
        <w:t>(Cant 3,6; 4,6.14; Sir 24,15). Y no hace falta destacar que son los regalos que los magos llevan al rey Jesús.</w:t>
      </w:r>
    </w:p>
    <w:p w14:paraId="08DA9C26"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5A51327"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A5CE6">
        <w:rPr>
          <w:rFonts w:ascii="Arial" w:eastAsia="Times New Roman" w:hAnsi="Arial" w:cs="Arial"/>
          <w:color w:val="000000"/>
          <w:kern w:val="0"/>
          <w:sz w:val="27"/>
          <w:szCs w:val="27"/>
          <w:lang w:eastAsia="es-UY"/>
          <w14:ligatures w14:val="none"/>
        </w:rPr>
        <w:t>Es sabido que en Israel la imagen de los magos (adivinos, nigromantes, etc.) es negativa; y no hay que olvidar que también hay mujeres entre ellos (por ejemplo, 1 Sam 28,7); es decir, al hablar de “magos”, se habla de magos y también de magas...</w:t>
      </w:r>
    </w:p>
    <w:p w14:paraId="68DCA598"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A5CE6">
        <w:rPr>
          <w:rFonts w:ascii="Arial" w:eastAsia="Times New Roman" w:hAnsi="Arial" w:cs="Arial"/>
          <w:color w:val="000000"/>
          <w:kern w:val="0"/>
          <w:sz w:val="27"/>
          <w:szCs w:val="27"/>
          <w:lang w:eastAsia="es-UY"/>
          <w14:ligatures w14:val="none"/>
        </w:rPr>
        <w:t>Por tanto, sea lo que fuere, en la visita al niño de “los magos” (un plural masculino que puede invisibilizar mujeres) puede, también, haber magas mujeres, además de las que, es de suponer, habría en la comitiva o séquito.</w:t>
      </w:r>
    </w:p>
    <w:p w14:paraId="73C99DAB"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8B2A714"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A5CE6">
        <w:rPr>
          <w:rFonts w:ascii="Arial" w:eastAsia="Times New Roman" w:hAnsi="Arial" w:cs="Arial"/>
          <w:color w:val="000000"/>
          <w:kern w:val="0"/>
          <w:sz w:val="27"/>
          <w:szCs w:val="27"/>
          <w:lang w:eastAsia="es-UY"/>
          <w14:ligatures w14:val="none"/>
        </w:rPr>
        <w:t xml:space="preserve">Un grupo marginal de </w:t>
      </w:r>
      <w:proofErr w:type="gramStart"/>
      <w:r w:rsidRPr="005A5CE6">
        <w:rPr>
          <w:rFonts w:ascii="Arial" w:eastAsia="Times New Roman" w:hAnsi="Arial" w:cs="Arial"/>
          <w:color w:val="000000"/>
          <w:kern w:val="0"/>
          <w:sz w:val="27"/>
          <w:szCs w:val="27"/>
          <w:lang w:eastAsia="es-UY"/>
          <w14:ligatures w14:val="none"/>
        </w:rPr>
        <w:t>extranjeros y extranjeras</w:t>
      </w:r>
      <w:proofErr w:type="gramEnd"/>
      <w:r w:rsidRPr="005A5CE6">
        <w:rPr>
          <w:rFonts w:ascii="Arial" w:eastAsia="Times New Roman" w:hAnsi="Arial" w:cs="Arial"/>
          <w:color w:val="000000"/>
          <w:kern w:val="0"/>
          <w:sz w:val="27"/>
          <w:szCs w:val="27"/>
          <w:lang w:eastAsia="es-UY"/>
          <w14:ligatures w14:val="none"/>
        </w:rPr>
        <w:t>, despreciados por la mayoría en Israel, reconoce y “adora” a Jesús, cosa que no hacen ni “todos los sumos sacerdotes” (</w:t>
      </w:r>
      <w:proofErr w:type="gramStart"/>
      <w:r w:rsidRPr="005A5CE6">
        <w:rPr>
          <w:rFonts w:ascii="Arial" w:eastAsia="Times New Roman" w:hAnsi="Arial" w:cs="Arial"/>
          <w:color w:val="000000"/>
          <w:kern w:val="0"/>
          <w:sz w:val="27"/>
          <w:szCs w:val="27"/>
          <w:lang w:eastAsia="es-UY"/>
          <w14:ligatures w14:val="none"/>
        </w:rPr>
        <w:t>a pesar que</w:t>
      </w:r>
      <w:proofErr w:type="gramEnd"/>
      <w:r w:rsidRPr="005A5CE6">
        <w:rPr>
          <w:rFonts w:ascii="Arial" w:eastAsia="Times New Roman" w:hAnsi="Arial" w:cs="Arial"/>
          <w:color w:val="000000"/>
          <w:kern w:val="0"/>
          <w:sz w:val="27"/>
          <w:szCs w:val="27"/>
          <w:lang w:eastAsia="es-UY"/>
          <w14:ligatures w14:val="none"/>
        </w:rPr>
        <w:t xml:space="preserve"> Miqueas les había informado con precisión el lugar) ni la autoridad política, la cual – como hizo en su momento el faraón – decide eliminarlo para no ver en peligro su gobierno; claro que, hoy, como ayer, la intervención de Dios, “salva al salvador” y allí comienza “otra historia”.</w:t>
      </w:r>
    </w:p>
    <w:p w14:paraId="18C06AC8"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8CD3D32" w14:textId="77777777" w:rsidR="005A5CE6" w:rsidRPr="005A5CE6" w:rsidRDefault="005A5CE6" w:rsidP="005A5CE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A5CE6">
        <w:rPr>
          <w:rFonts w:ascii="Arial" w:eastAsia="Times New Roman" w:hAnsi="Arial" w:cs="Arial"/>
          <w:color w:val="000000"/>
          <w:kern w:val="0"/>
          <w:sz w:val="27"/>
          <w:szCs w:val="27"/>
          <w:lang w:eastAsia="es-UY"/>
          <w14:ligatures w14:val="none"/>
        </w:rPr>
        <w:t>Visita de magos y magas a adorar al niño (IA)</w:t>
      </w:r>
    </w:p>
    <w:p w14:paraId="64B16607" w14:textId="77777777" w:rsidR="005A5CE6" w:rsidRPr="005A5CE6" w:rsidRDefault="005A5CE6" w:rsidP="005A5CE6">
      <w:pPr>
        <w:shd w:val="clear" w:color="auto" w:fill="FFFFFF"/>
        <w:spacing w:after="240" w:line="240" w:lineRule="auto"/>
        <w:rPr>
          <w:rFonts w:ascii="Arial" w:eastAsia="Times New Roman" w:hAnsi="Arial" w:cs="Arial"/>
          <w:color w:val="222222"/>
          <w:kern w:val="0"/>
          <w:sz w:val="24"/>
          <w:szCs w:val="24"/>
          <w:lang w:eastAsia="es-UY"/>
          <w14:ligatures w14:val="none"/>
        </w:rPr>
      </w:pPr>
    </w:p>
    <w:sectPr w:rsidR="005A5CE6" w:rsidRPr="005A5C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E6"/>
    <w:rsid w:val="005A5CE6"/>
    <w:rsid w:val="00926044"/>
    <w:rsid w:val="00D9177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474F"/>
  <w15:chartTrackingRefBased/>
  <w15:docId w15:val="{A66F7184-CF1E-47D4-A0A2-CC2B29CC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5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5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5C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5C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5C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5C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5C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5C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5C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5C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5C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5C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5C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5C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5C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5C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5C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5CE6"/>
    <w:rPr>
      <w:rFonts w:eastAsiaTheme="majorEastAsia" w:cstheme="majorBidi"/>
      <w:color w:val="272727" w:themeColor="text1" w:themeTint="D8"/>
    </w:rPr>
  </w:style>
  <w:style w:type="paragraph" w:styleId="Ttulo">
    <w:name w:val="Title"/>
    <w:basedOn w:val="Normal"/>
    <w:next w:val="Normal"/>
    <w:link w:val="TtuloCar"/>
    <w:uiPriority w:val="10"/>
    <w:qFormat/>
    <w:rsid w:val="005A5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C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5C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5C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5CE6"/>
    <w:pPr>
      <w:spacing w:before="160"/>
      <w:jc w:val="center"/>
    </w:pPr>
    <w:rPr>
      <w:i/>
      <w:iCs/>
      <w:color w:val="404040" w:themeColor="text1" w:themeTint="BF"/>
    </w:rPr>
  </w:style>
  <w:style w:type="character" w:customStyle="1" w:styleId="CitaCar">
    <w:name w:val="Cita Car"/>
    <w:basedOn w:val="Fuentedeprrafopredeter"/>
    <w:link w:val="Cita"/>
    <w:uiPriority w:val="29"/>
    <w:rsid w:val="005A5CE6"/>
    <w:rPr>
      <w:i/>
      <w:iCs/>
      <w:color w:val="404040" w:themeColor="text1" w:themeTint="BF"/>
    </w:rPr>
  </w:style>
  <w:style w:type="paragraph" w:styleId="Prrafodelista">
    <w:name w:val="List Paragraph"/>
    <w:basedOn w:val="Normal"/>
    <w:uiPriority w:val="34"/>
    <w:qFormat/>
    <w:rsid w:val="005A5CE6"/>
    <w:pPr>
      <w:ind w:left="720"/>
      <w:contextualSpacing/>
    </w:pPr>
  </w:style>
  <w:style w:type="character" w:styleId="nfasisintenso">
    <w:name w:val="Intense Emphasis"/>
    <w:basedOn w:val="Fuentedeprrafopredeter"/>
    <w:uiPriority w:val="21"/>
    <w:qFormat/>
    <w:rsid w:val="005A5CE6"/>
    <w:rPr>
      <w:i/>
      <w:iCs/>
      <w:color w:val="0F4761" w:themeColor="accent1" w:themeShade="BF"/>
    </w:rPr>
  </w:style>
  <w:style w:type="paragraph" w:styleId="Citadestacada">
    <w:name w:val="Intense Quote"/>
    <w:basedOn w:val="Normal"/>
    <w:next w:val="Normal"/>
    <w:link w:val="CitadestacadaCar"/>
    <w:uiPriority w:val="30"/>
    <w:qFormat/>
    <w:rsid w:val="005A5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5CE6"/>
    <w:rPr>
      <w:i/>
      <w:iCs/>
      <w:color w:val="0F4761" w:themeColor="accent1" w:themeShade="BF"/>
    </w:rPr>
  </w:style>
  <w:style w:type="character" w:styleId="Referenciaintensa">
    <w:name w:val="Intense Reference"/>
    <w:basedOn w:val="Fuentedeprrafopredeter"/>
    <w:uiPriority w:val="32"/>
    <w:qFormat/>
    <w:rsid w:val="005A5C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logger.googleusercontent.com/img/a/AVvXsEizcT_CU1RjQkZqumzXHNszUERn6CYeiJZ7UkFGukpvmt-OyJe2OnElCYThc0jtuMSQi493g6NABYvGz9KdHOAtINEvBpCU624lF11Q4Jhe6t-5ybuD1aqI2kBPFRgeNKEmQdsJbzBI1thiXaLYiQaSWsBDJxtQ9kIAXKdZsQnwLysb4-g0l9wSFljuD4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2364</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2026-01-08T14:06:00Z</dcterms:created>
  <dcterms:modified xsi:type="dcterms:W3CDTF">2026-01-08T14:06:00Z</dcterms:modified>
</cp:coreProperties>
</file>