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D1EC8" w14:textId="77777777" w:rsidR="00006A23" w:rsidRPr="00006A23" w:rsidRDefault="00006A23" w:rsidP="00006A23">
      <w:pPr>
        <w:shd w:val="clear" w:color="auto" w:fill="FFFFFF"/>
        <w:spacing w:before="480" w:after="120" w:line="240" w:lineRule="auto"/>
        <w:outlineLvl w:val="0"/>
        <w:rPr>
          <w:rFonts w:ascii="Arial" w:eastAsia="Times New Roman" w:hAnsi="Arial" w:cs="Arial"/>
          <w:b/>
          <w:bCs/>
          <w:color w:val="222222"/>
          <w:kern w:val="36"/>
          <w:sz w:val="48"/>
          <w:szCs w:val="48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es-UY"/>
          <w14:ligatures w14:val="none"/>
        </w:rPr>
        <w:t>La energía, el activo financiero que sostiene la era del cripto y la inteligencia artificial</w:t>
      </w:r>
    </w:p>
    <w:p w14:paraId="4C31536E" w14:textId="6998863C" w:rsid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Laura Sánchez</w:t>
      </w:r>
    </w:p>
    <w:p w14:paraId="0EA2AFA8" w14:textId="0E5E2154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Cada ciclo financiero dominante suele identificarse por su narrativa, pero se explica por su activo subyacente.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Durante años, el capital persiguió tecnologías que prometían crecimiento ilimitado con costes decrecientes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una premisa que hoy empieza a mostrar grietas. Tanto el cripto como la inteligencia artificial dependen de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un recurso físico finito, caro y estratégico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lo que altera por completo la lógica inversora. En un contexto de tensión global,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energía emerge como el verdadero activo que sostiene las valoraciones actuales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dentro del ecosistema de la</w:t>
      </w:r>
      <w:hyperlink r:id="rId5" w:tgtFrame="_blank" w:history="1">
        <w:r w:rsidRPr="00006A23">
          <w:rPr>
            <w:rFonts w:ascii="Arial" w:eastAsia="Times New Roman" w:hAnsi="Arial" w:cs="Arial"/>
            <w:color w:val="000000"/>
            <w:kern w:val="0"/>
            <w:sz w:val="27"/>
            <w:szCs w:val="27"/>
            <w:lang w:eastAsia="es-UY"/>
            <w14:ligatures w14:val="none"/>
          </w:rPr>
          <w:t xml:space="preserve"> </w:t>
        </w:r>
        <w:r w:rsidRPr="00006A23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tecnología</w:t>
        </w:r>
      </w:hyperlink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12398112" w14:textId="77777777" w:rsidR="00006A23" w:rsidRPr="00006A23" w:rsidRDefault="00006A23" w:rsidP="00006A23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Burbuja financiera y patrón histórico de activos subyacentes</w:t>
      </w:r>
    </w:p>
    <w:p w14:paraId="43195C7E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Las grandes burbujas financieras no se construyen solo sobre expectativas, sino sobre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activos que permiten apalancar el sistema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. Entre 2000 y 2008,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el ladrillo actuó como colateral universal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facilitando una expansión crediticia masiva hasta su colapso. Entre 2016 y 2022,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el cripto intentó ocupar ese lugar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prometiendo descentralización y escasez digital, pero sin un respaldo físico que sostuviera valoraciones multimillonarias a largo plazo.</w:t>
      </w:r>
    </w:p>
    <w:p w14:paraId="3EFE1628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Desde 2023,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inteligencia artificial ocupa el centro del relato inversor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aunque su naturaleza es distinta a la del software tradicional. El desarrollo y operación de modelos avanzados requiere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infraestructuras físicas intensivas en capital y energía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replicando un patrón histórico conocido: la narrativa es nueva, pero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el activo subyacente vuelve a ser tangible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 Esta desconexión explica por qué la</w:t>
      </w:r>
      <w:hyperlink r:id="rId6" w:tgtFrame="_blank" w:history="1">
        <w:r w:rsidRPr="00006A23">
          <w:rPr>
            <w:rFonts w:ascii="Arial" w:eastAsia="Times New Roman" w:hAnsi="Arial" w:cs="Arial"/>
            <w:color w:val="000000"/>
            <w:kern w:val="0"/>
            <w:sz w:val="27"/>
            <w:szCs w:val="27"/>
            <w:lang w:eastAsia="es-UY"/>
            <w14:ligatures w14:val="none"/>
          </w:rPr>
          <w:t xml:space="preserve"> </w:t>
        </w:r>
        <w:r w:rsidRPr="00006A23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relación entre inteligencia artificial y energía</w:t>
        </w:r>
      </w:hyperlink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se ha convertido en un factor crítico para entender el nuevo ciclo financiero.</w:t>
      </w:r>
    </w:p>
    <w:p w14:paraId="34A4C1D7" w14:textId="77777777" w:rsidR="00006A23" w:rsidRPr="00006A23" w:rsidRDefault="00006A23" w:rsidP="00006A23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Energía, centros de datos y nueva lógica industrial</w:t>
      </w:r>
    </w:p>
    <w:p w14:paraId="2FAD2F9F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La inteligencia artificial ha introducido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una lógica industrial más cercana a la manufactura pesada que a la economía digital clásica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. Los centros de datos ya no son simples infraestructuras tecnológicas, sino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instalaciones industriales de gran escala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con 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lastRenderedPageBreak/>
        <w:t>inversiones superiores a los 1.000 millones de euros y consumos eléctricos comparables a los de una ciudad mediana.</w:t>
      </w:r>
    </w:p>
    <w:p w14:paraId="2208AA6D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Este cambio implica varias transformaciones clave:</w:t>
      </w:r>
    </w:p>
    <w:p w14:paraId="417ECBE6" w14:textId="77777777" w:rsidR="00006A23" w:rsidRPr="00006A23" w:rsidRDefault="00006A23" w:rsidP="00006A23">
      <w:pPr>
        <w:numPr>
          <w:ilvl w:val="0"/>
          <w:numId w:val="1"/>
        </w:numPr>
        <w:spacing w:before="240"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Los centros de datos funcionan como las fábricas del siglo XXI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concentrando capital, infraestructura y consumo energético.</w:t>
      </w:r>
    </w:p>
    <w:p w14:paraId="38610827" w14:textId="77777777" w:rsidR="00006A23" w:rsidRPr="00006A23" w:rsidRDefault="00006A23" w:rsidP="00006A23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capacidad eléctrica instalada se convierte en una ventaja competitiva nacional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condicionando la localización de inversiones.</w:t>
      </w:r>
    </w:p>
    <w:p w14:paraId="7D829296" w14:textId="77777777" w:rsidR="00006A23" w:rsidRPr="00006A23" w:rsidRDefault="00006A23" w:rsidP="00006A23">
      <w:pPr>
        <w:numPr>
          <w:ilvl w:val="0"/>
          <w:numId w:val="1"/>
        </w:numPr>
        <w:spacing w:after="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El aumento sostenido de la demanda tensiona los mercados energéticos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influyendo directamente en el funcionamiento del</w:t>
      </w:r>
      <w:hyperlink r:id="rId7" w:tgtFrame="_blank" w:history="1">
        <w:r w:rsidRPr="00006A23">
          <w:rPr>
            <w:rFonts w:ascii="Arial" w:eastAsia="Times New Roman" w:hAnsi="Arial" w:cs="Arial"/>
            <w:color w:val="000000"/>
            <w:kern w:val="0"/>
            <w:sz w:val="27"/>
            <w:szCs w:val="27"/>
            <w:lang w:eastAsia="es-UY"/>
            <w14:ligatures w14:val="none"/>
          </w:rPr>
          <w:t xml:space="preserve"> </w:t>
        </w:r>
        <w:r w:rsidRPr="00006A23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mercado energético</w:t>
        </w:r>
      </w:hyperlink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y en la formación de precios.</w:t>
      </w:r>
    </w:p>
    <w:p w14:paraId="153E7D34" w14:textId="77777777" w:rsidR="00006A23" w:rsidRPr="00006A23" w:rsidRDefault="00006A23" w:rsidP="00006A23">
      <w:pPr>
        <w:numPr>
          <w:ilvl w:val="0"/>
          <w:numId w:val="1"/>
        </w:numPr>
        <w:spacing w:after="240" w:line="240" w:lineRule="auto"/>
        <w:ind w:left="945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huella de carbono asociada a estas infraestructuras pasa de debate ambiental a variable económica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con impacto directo en decisiones de inversión y en objetivos de sostenibilidad como la reducción de la</w:t>
      </w:r>
      <w:hyperlink r:id="rId8" w:tgtFrame="_blank" w:history="1">
        <w:r w:rsidRPr="00006A23">
          <w:rPr>
            <w:rFonts w:ascii="Arial" w:eastAsia="Times New Roman" w:hAnsi="Arial" w:cs="Arial"/>
            <w:color w:val="000000"/>
            <w:kern w:val="0"/>
            <w:sz w:val="27"/>
            <w:szCs w:val="27"/>
            <w:lang w:eastAsia="es-UY"/>
            <w14:ligatures w14:val="none"/>
          </w:rPr>
          <w:t xml:space="preserve"> </w:t>
        </w:r>
        <w:r w:rsidRPr="00006A23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huella de carbono</w:t>
        </w:r>
      </w:hyperlink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1955FF59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En este contexto, la disponibilidad de energía limpia se vincula cada vez más a modelos de desarrollo basados en</w:t>
      </w:r>
      <w:hyperlink r:id="rId9" w:tgtFrame="_blank" w:history="1">
        <w:r w:rsidRPr="00006A23">
          <w:rPr>
            <w:rFonts w:ascii="Arial" w:eastAsia="Times New Roman" w:hAnsi="Arial" w:cs="Arial"/>
            <w:color w:val="000000"/>
            <w:kern w:val="0"/>
            <w:sz w:val="27"/>
            <w:szCs w:val="27"/>
            <w:lang w:eastAsia="es-UY"/>
            <w14:ligatures w14:val="none"/>
          </w:rPr>
          <w:t xml:space="preserve"> </w:t>
        </w:r>
        <w:r w:rsidRPr="00006A23">
          <w:rPr>
            <w:rFonts w:ascii="Arial" w:eastAsia="Times New Roman" w:hAnsi="Arial" w:cs="Arial"/>
            <w:color w:val="1155CC"/>
            <w:kern w:val="0"/>
            <w:sz w:val="27"/>
            <w:szCs w:val="27"/>
            <w:u w:val="single"/>
            <w:lang w:eastAsia="es-UY"/>
            <w14:ligatures w14:val="none"/>
          </w:rPr>
          <w:t>ciudades sostenibles</w:t>
        </w:r>
      </w:hyperlink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.</w:t>
      </w:r>
    </w:p>
    <w:p w14:paraId="1331A970" w14:textId="77777777" w:rsidR="00006A23" w:rsidRPr="00006A23" w:rsidRDefault="00006A23" w:rsidP="00006A23">
      <w:pPr>
        <w:shd w:val="clear" w:color="auto" w:fill="FFFFFF"/>
        <w:spacing w:before="360" w:after="80" w:line="240" w:lineRule="auto"/>
        <w:outlineLvl w:val="1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Valoraciones, riesgo sistémico y límites del crecimiento</w:t>
      </w:r>
    </w:p>
    <w:p w14:paraId="733DF8B0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El principal riesgo del ciclo actual no es el fracaso de la inteligencia artificial, sino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desconexión entre sus valoraciones y el coste real de la energía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 que necesita para escalar. En determinadas aplicaciones,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energía ya representa entre el 20% y el 40% de los costes operativos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un dato que cuestiona modelos basados en escalabilidad infinita y márgenes crecientes.</w:t>
      </w:r>
    </w:p>
    <w:p w14:paraId="2B7A7153" w14:textId="77777777" w:rsidR="00006A23" w:rsidRPr="00006A23" w:rsidRDefault="00006A23" w:rsidP="00006A23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es-UY"/>
          <w14:ligatures w14:val="none"/>
        </w:rPr>
      </w:pP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Aun así,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muchas valoraciones siguen tratándola como si fuera solo software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 xml:space="preserve">, ignorando límites físicos y económicos. Figuras influyentes del sector tecnológico han comenzado a advertir de este cuello de botella tras haberlo experimentado previamente en el cripto. </w:t>
      </w:r>
      <w:r w:rsidRPr="00006A23">
        <w:rPr>
          <w:rFonts w:ascii="Arial" w:eastAsia="Times New Roman" w:hAnsi="Arial" w:cs="Arial"/>
          <w:b/>
          <w:bCs/>
          <w:color w:val="000000"/>
          <w:kern w:val="0"/>
          <w:sz w:val="27"/>
          <w:szCs w:val="27"/>
          <w:lang w:eastAsia="es-UY"/>
          <w14:ligatures w14:val="none"/>
        </w:rPr>
        <w:t>La próxima década no girará solo en torno a algoritmos más potentes</w:t>
      </w:r>
      <w:r w:rsidRPr="00006A23">
        <w:rPr>
          <w:rFonts w:ascii="Arial" w:eastAsia="Times New Roman" w:hAnsi="Arial" w:cs="Arial"/>
          <w:color w:val="000000"/>
          <w:kern w:val="0"/>
          <w:sz w:val="27"/>
          <w:szCs w:val="27"/>
          <w:lang w:eastAsia="es-UY"/>
          <w14:ligatures w14:val="none"/>
        </w:rPr>
        <w:t>, sino en torno a quién controla, financia y puede pagar la energía que los mantiene en funcionamiento.</w:t>
      </w:r>
    </w:p>
    <w:sectPr w:rsidR="00006A23" w:rsidRPr="00006A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D1882"/>
    <w:multiLevelType w:val="multilevel"/>
    <w:tmpl w:val="3EA6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93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23"/>
    <w:rsid w:val="00006A23"/>
    <w:rsid w:val="00492DFF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41F14"/>
  <w15:chartTrackingRefBased/>
  <w15:docId w15:val="{F8DBFD76-ECB2-421A-A390-9A2EC1F0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0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0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0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0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0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0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0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0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0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0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0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0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06A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06A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06A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06A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06A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06A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0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0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0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0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0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06A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06A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06A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0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06A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06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pernest.es/info/huella-carbon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pernest.es/info/mercado-energet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apernest.es/info/tecnologia/inteligencia-artificial-energia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apernest.es/info/tecnologia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apernest.es/info/renovables/ciudades-sostenible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2026-01-16T18:14:00Z</dcterms:created>
  <dcterms:modified xsi:type="dcterms:W3CDTF">2026-01-16T18:15:00Z</dcterms:modified>
</cp:coreProperties>
</file>