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9FEE" w14:textId="77777777" w:rsidR="00BA1AA6" w:rsidRPr="00BA1AA6" w:rsidRDefault="00BA1AA6" w:rsidP="00BA1AA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pt-PT" w:eastAsia="es-UY"/>
          <w14:ligatures w14:val="none"/>
        </w:rPr>
      </w:pPr>
      <w:r w:rsidRPr="00BA1AA6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pt-PT" w:eastAsia="es-UY"/>
          <w14:ligatures w14:val="none"/>
        </w:rPr>
        <w:t>OS PRESBÍTEROS SÃO SINODAIS</w:t>
      </w:r>
    </w:p>
    <w:p w14:paraId="36A5748F" w14:textId="77777777" w:rsidR="00BA1AA6" w:rsidRPr="00BA1AA6" w:rsidRDefault="00BA1AA6" w:rsidP="00BA1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0475589C" w14:textId="77777777" w:rsidR="00BA1AA6" w:rsidRPr="00BA1AA6" w:rsidRDefault="00BA1AA6" w:rsidP="00BA1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BA1AA6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t>O Papa Francisco denunciou, com razão, a distorção do exercício do poder na Igreja com uma expressão: Clericalismo. Historicamente fomos assumindo um estilo piramidal nas nossas relações eclesiais. Isso foi um processo gradual que precisa ser analisado com seriedade acadêmica e honestidade intelectual, sem paixões e anacronismo tosco. Sem dúvida, o Concílio Vaticano II corrigiu essa perversão e nos recolocou as bases eclesiológicas - Nova Teologia - para que possamos, em nossos dias, pensar a necessidade e a importância do “estilo sinodal da Igreja” neste III Milênio. Neste, todos são chamados a ser protagonistas no agir da sacramentalidade da Igreja, que formada por todos os batizados. A pirâmide é invertida: todos os sujeitos eclesiais são reconhecidos e relacionam-se de modo complementar. O caminho é sinodal, integral e com a dinamização própria do Espírito Santo, que fala continuamente à Igreja (cf. Ap 2,7).</w:t>
      </w:r>
    </w:p>
    <w:p w14:paraId="24D5172A" w14:textId="77777777" w:rsidR="00BA1AA6" w:rsidRPr="00BA1AA6" w:rsidRDefault="00BA1AA6" w:rsidP="00BA1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1DE66C78" w14:textId="77777777" w:rsidR="00BA1AA6" w:rsidRPr="00BA1AA6" w:rsidRDefault="00BA1AA6" w:rsidP="00BA1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BA1AA6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t>Na religiosidade contemporânea, com as possibilidades invasivas e libertárias proporcionadas pelas Mídias Sociais, esse protagonismo eclesial ganhou rumos diversos. Todos passam a ser detentores de informações e seus propagadores. As novas ferramentas tornam-se os novos “espaços públicos” e os púlpitos destes teólogos e cientistas das religiões. Desta forma, o paradigma religioso trata sobre tudo; mas também torna-se objeto e refém das muitas situações culturais da nossa “Época de Mudança”. Dentre essas correntes pelas transita essas interfaces, sem dúvida, o campo político tem ganhado muito corpo e quantificação. O discurso político engole, cotidianamente, as questões estruturais e a linguagem religiosa, com sua beligerância e violência simbólicas. Temos percebido esse fenômeno patente em ambiências católicas, com seus grupos midiáticos e comunidades fundamentalistas. Estes, secundarizam o Fundamento do cristianismo - JESUS CRISTO E A SUA MENSAGEM DE SALVAÇÃO AO HOMEM TODO E TODO O HOMEM - e apelam para os devocionismos alienados e alienantes, com um alcance junto às massas que são herdeiras de um processo de Evangelização carregado pelo catolicismo ibérico, correntes anímicas da cultura indígena e a religiosidade africana, que serão as bases do que está no insconsciente coletivo do Povo Brasileiro, com a sua espiritualidade popular, que deveria ser via para o anúncio autêntico da mensagem do Evangelho.</w:t>
      </w:r>
    </w:p>
    <w:p w14:paraId="2BDBF2A4" w14:textId="77777777" w:rsidR="00BA1AA6" w:rsidRPr="00BA1AA6" w:rsidRDefault="00BA1AA6" w:rsidP="00BA1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2FF83626" w14:textId="77777777" w:rsidR="00BA1AA6" w:rsidRPr="00BA1AA6" w:rsidRDefault="00BA1AA6" w:rsidP="00BA1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BA1AA6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t>Nessas novas correntes os Ministros Ordenados são colocados de lado. Isso tem algo sutil, mas é retroalimentado permanentemente. De imediato, já temos aqui uma negação da Eclesiologia conciliar, que enfatizara uma ‘Relação Complementar” entre os Fiéis Leigos e os Ministros Ordenados; estes últimos a serviço dos primeiros, mas sempre em cooperação e agindo em comunhão (cf. Lumen Gentil, Cap. I-IV). Nas Igrejas Particulares - Dioceses e Arquidioceses - do nosso Brasil, estão sendo veiculadas consagrações permanentes ao Anjo São Miguel e a construção de imagens gigantes de santos Populares, que é algo bom e faz bem à fé do Povo Fiel de Deus. Salve São Miguel roguem por nós todos os Santos! Contudo, a ideia que motiva essa consagração é complexa, pois apresenta a ideia de um “novo domínio” e retomada da força temporal dos nossos contextos culturais. Há um saudosismo da Era da cristandade. Com frequência, e isso é muito patente, a ideia de combate toma conta das pregações e movimentos retrópicos. Há de imediato uma constatação de que estamos diante de empreitada que vai de encontro aos ensinamentos magisteriais propostos pelo Concílio Vaticano II e todas as orientações pastorais decorrentes dele, principalmente na nossa América Latina.</w:t>
      </w:r>
    </w:p>
    <w:p w14:paraId="60422EF6" w14:textId="77777777" w:rsidR="00BA1AA6" w:rsidRPr="00BA1AA6" w:rsidRDefault="00BA1AA6" w:rsidP="00BA1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6610876E" w14:textId="77777777" w:rsidR="00BA1AA6" w:rsidRPr="00BA1AA6" w:rsidRDefault="00BA1AA6" w:rsidP="00BA1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BA1AA6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t>Neste contexto social e eclesial, essas consagrações e idealizações arquitetônicas têm assumido contornos ideológicos e políticos na suas mensagens sub-reptícias. Tanto socialmente, quanto eclesiasticamente, o que se busca é “apoio popular”. Através delas, o papel dos ministros ordenados é colocado à parte, especialmente dos presbíteros. Tanto que a grande preocupação é usar os meios de comunicação para fazer a articulação da população. Percebendo essa metodologia, já podemos inferir o que está por trás desta manobra. O intento de resgatar esse catolicismo pré-moderno é ideológico e, cedo ou tarde, provocará um mal estar nas relações internas da Igreja, como já acontecendo, e será causa de fragilização da sua credibilidade junto à sociedade, já que o que a fortaleceu no passado, com a reviravolta antropológica da modernidade, foi o que a subjugou na passagem à Pós-modernidade. Nesta última, o cristianismo puro e simples cede lugar a uma religiosidade das subjetividades carentes de sentido e distante de compromisso com o próximo. O intimismo fantasioso e feitichista supera a “Alegria do Evangelho”. O Concílio Vaticano II é o ponto de equilíbrio deste diálogo. Os últimos Papas até Leão XIV nos mostram a importância dele como Bússola.</w:t>
      </w:r>
    </w:p>
    <w:p w14:paraId="23286EAA" w14:textId="77777777" w:rsidR="00BA1AA6" w:rsidRPr="00BA1AA6" w:rsidRDefault="00BA1AA6" w:rsidP="00BA1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612A3238" w14:textId="77777777" w:rsidR="00BA1AA6" w:rsidRPr="00BA1AA6" w:rsidRDefault="00BA1AA6" w:rsidP="00BA1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BA1AA6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lastRenderedPageBreak/>
        <w:t>Enfim, num momento em que tratamos da urgência da Sinodalidade, da Diocesaneidade e da Campanha da Fraternidade, o que essas Consagrações trazem de diferencial aos nossos projetos de Evangelização e ao conjunto da nossa história de protagonismo de todos os Sujeitos Eclesiais? O que de fato queremos com elas? A Igreja do Brasil tem uma história belíssima de Pastoral de Conjunto. As nossas práticas eclesiásticas não poderiam colocar para o fundo do baú esse dinamismo. No contemporâneo, depois da V Conferência de Aparecida, deveríamos apostar nas Comunidades Eclesiais, na formação permanente, numa Eclesiologia de comunhão e participação, com o coração aberto ao Estado de Missão Permanente de todas as Igrejas Particulares das Igrejas do Brasil. A nossas Igrejas Locais necessitam urgentemente de “rosto de pastoralidade”, ou seja, ação orgânica, continuada e perseverante do anúncio do Evangelho, ou seja, uma Igreja em Saída às tantíssimas situações de fronteiras. As comunidades necessitam de “estabilidade eclesial”, inclusive sem tantas mudanças que fragilizam emocionalmente a totalidade das nossas ações. Esse também não é o espírito do Concílio, que refletiu no Código de Direito Canônico o direito à estabilidade da comunidade, exceto quando urge uma necessidade maior da própria Igreja Local. Em realidades pastorais, em nossos colegiados de participação, deveríamos discutir com mais profundidade e liberdade de espírito acerca destes atos eclesiais contemporâneos. Os presbíteros são colaboradores e sujeitos sinodais nessa ordem sistêmica, não só enquanto sujeitos passivos; como, outrossim, ativos. Assim o seja!</w:t>
      </w:r>
    </w:p>
    <w:p w14:paraId="2AD56C9B" w14:textId="77777777" w:rsidR="00BA1AA6" w:rsidRPr="00BA1AA6" w:rsidRDefault="00BA1AA6" w:rsidP="00BA1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58B43D1D" w14:textId="77777777" w:rsidR="00BA1AA6" w:rsidRPr="00BA1AA6" w:rsidRDefault="00BA1AA6" w:rsidP="00BA1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BA1AA6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  <w:t>Pe. Matias Soares</w:t>
      </w:r>
    </w:p>
    <w:p w14:paraId="15997454" w14:textId="77777777" w:rsidR="00BA1AA6" w:rsidRPr="00BA1AA6" w:rsidRDefault="00BA1AA6" w:rsidP="00BA1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BA1AA6">
        <w:rPr>
          <w:rFonts w:ascii="Arial" w:eastAsia="Times New Roman" w:hAnsi="Arial" w:cs="Arial"/>
          <w:color w:val="222222"/>
          <w:kern w:val="0"/>
          <w:sz w:val="28"/>
          <w:szCs w:val="28"/>
          <w:lang w:val="pt-PT" w:eastAsia="es-UY"/>
          <w14:ligatures w14:val="none"/>
        </w:rPr>
        <w:t>Pároco da paróquia de Santo Afonso Maria de LIGÓRIO</w:t>
      </w:r>
    </w:p>
    <w:p w14:paraId="3B10787B" w14:textId="77777777" w:rsidR="00BA1AA6" w:rsidRPr="00BA1AA6" w:rsidRDefault="00BA1AA6" w:rsidP="00BA1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BA1AA6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>Natal-RN</w:t>
      </w:r>
    </w:p>
    <w:p w14:paraId="01EAE8D8" w14:textId="77777777" w:rsidR="00BA1AA6" w:rsidRPr="00BA1AA6" w:rsidRDefault="00BA1AA6" w:rsidP="00BA1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</w:p>
    <w:p w14:paraId="2DDAF221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A6"/>
    <w:rsid w:val="00926044"/>
    <w:rsid w:val="00976716"/>
    <w:rsid w:val="00BA1AA6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D47C"/>
  <w15:chartTrackingRefBased/>
  <w15:docId w15:val="{5EC8C51A-E64F-4FE9-8400-496B3A3A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1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1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1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1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1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1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1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1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1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1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1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1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1A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1A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1A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1A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1A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1A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1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1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1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1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1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1A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1A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1A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1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1A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1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2026-02-18T19:48:00Z</dcterms:created>
  <dcterms:modified xsi:type="dcterms:W3CDTF">2026-02-18T19:48:00Z</dcterms:modified>
</cp:coreProperties>
</file>