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EA45" w14:textId="77777777" w:rsidR="00A64A6D" w:rsidRPr="00A64A6D" w:rsidRDefault="00A64A6D" w:rsidP="00A64A6D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</w:pPr>
      <w:r w:rsidRPr="00A64A6D"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  <w:t>La Iglesia sinodal desde la armonía relacional: reflexión teológico-pastoral en el Tercer Encuentro de plataformas, pastorales y redes eclesiales</w:t>
      </w:r>
    </w:p>
    <w:p w14:paraId="1E1F10E4" w14:textId="77777777" w:rsidR="00A64A6D" w:rsidRPr="00A64A6D" w:rsidRDefault="00A64A6D" w:rsidP="00A64A6D">
      <w:pPr>
        <w:shd w:val="clear" w:color="auto" w:fill="FFFFFF"/>
        <w:spacing w:after="0" w:line="240" w:lineRule="atLeast"/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aps/>
          <w:color w:val="AAAAAA"/>
          <w:kern w:val="0"/>
          <w:sz w:val="18"/>
          <w:szCs w:val="18"/>
          <w:bdr w:val="none" w:sz="0" w:space="0" w:color="auto" w:frame="1"/>
          <w:lang w:eastAsia="es-UY"/>
          <w14:ligatures w14:val="none"/>
        </w:rPr>
        <w:t> 18 de febrero de 2026  </w:t>
      </w:r>
      <w:hyperlink r:id="rId4" w:history="1">
        <w:r w:rsidRPr="00A64A6D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Micaela Alejandra Díaz</w:t>
        </w:r>
      </w:hyperlink>
      <w:r w:rsidRPr="00A64A6D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  </w:t>
      </w:r>
      <w:hyperlink r:id="rId5" w:history="1">
        <w:r w:rsidRPr="00A64A6D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Celam</w:t>
        </w:r>
      </w:hyperlink>
      <w:r w:rsidRPr="00A64A6D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, </w:t>
      </w:r>
      <w:hyperlink r:id="rId6" w:history="1">
        <w:r w:rsidRPr="00A64A6D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Mundo</w:t>
        </w:r>
      </w:hyperlink>
      <w:r w:rsidRPr="00A64A6D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, </w:t>
      </w:r>
      <w:hyperlink r:id="rId7" w:history="1">
        <w:r w:rsidRPr="00A64A6D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Noticias del Sínodo</w:t>
        </w:r>
      </w:hyperlink>
      <w:r w:rsidRPr="00A64A6D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, </w:t>
      </w:r>
      <w:hyperlink r:id="rId8" w:history="1">
        <w:r w:rsidRPr="00A64A6D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Portada</w:t>
        </w:r>
      </w:hyperlink>
    </w:p>
    <w:p w14:paraId="28D7BAAB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Roboto" w:eastAsia="Times New Roman" w:hAnsi="Roboto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23CD7D5" wp14:editId="24DB60D2">
            <wp:extent cx="5422900" cy="3166189"/>
            <wp:effectExtent l="0" t="0" r="6350" b="0"/>
            <wp:docPr id="1" name="Imagen 2" descr="Un grupo de personas en un salón de clas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Un grupo de personas en un salón de clase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02" cy="317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02AA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Durante el Tercer Encuentro de plataformas, pastorales y redes eclesiales articuladas por el </w:t>
      </w:r>
      <w:proofErr w:type="spellStart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Celam</w:t>
      </w:r>
      <w:proofErr w:type="spellEnd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se desarrolló el espacio de Iluminación Teológico-Pastoral titulado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“Reflexión sobre la Iglesia sinodal a la luz del Documento Final del Sínodo”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a cargo del teólogo mexicano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Ernesto Palafox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quien propuso una lectura estructurada en torno a los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“componentes centrales en la armonía sinodal”.</w:t>
      </w:r>
    </w:p>
    <w:p w14:paraId="48703E13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Doctor en teología pastoral por la Universidad Católica de Lovaina y profesor de la Universidad Pontificia de México,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Palafox centró su intervención en el </w:t>
      </w:r>
      <w:hyperlink r:id="rId10" w:tgtFrame="_blank" w:history="1">
        <w:r w:rsidRPr="00A64A6D">
          <w:rPr>
            <w:rFonts w:ascii="inherit" w:eastAsia="Times New Roman" w:hAnsi="inherit" w:cs="Times New Roman"/>
            <w:b/>
            <w:bCs/>
            <w:i/>
            <w:iCs/>
            <w:color w:val="42B8D4"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>Documento Final del Sínodo</w:t>
        </w:r>
      </w:hyperlink>
      <w:r w:rsidRPr="00A64A6D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sobre la Sinodalidad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del cual extrajo cinco elementos que, en su articulación, permiten comprender y encarnar la sinodalidad como estilo de Iglesia.</w:t>
      </w:r>
    </w:p>
    <w:p w14:paraId="150A44BC" w14:textId="77777777" w:rsid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Precisó que su propuesta identifica cinco componentes que deben ponerse en relación: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estilo, la estructura, los procesos, los eventos y la evaluación son cinco elementos que se ponen en armonía para que la sinodalidad se haga presente en las acciones pastorales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13453B5F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45FB8E01" w14:textId="77777777" w:rsidR="00A64A6D" w:rsidRPr="00A64A6D" w:rsidRDefault="00A64A6D" w:rsidP="00A64A6D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El estilo como punto de partida</w:t>
      </w:r>
    </w:p>
    <w:p w14:paraId="5E838E8F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Para el teólogo, la sinodalidad es un modo de ser: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“La sinodalidad imprime un estilo, es el modo de vivir y de obrar de la Iglesia”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explicó, señalando que se trata del </w:t>
      </w:r>
      <w:r w:rsidRPr="00A64A6D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modus operandi, vivendi y </w:t>
      </w:r>
      <w:proofErr w:type="spellStart"/>
      <w:r w:rsidRPr="00A64A6D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procedendi</w:t>
      </w:r>
      <w:proofErr w:type="spellEnd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que configura actitudes, disposiciones espirituales y relaciones evangélicas.</w:t>
      </w:r>
    </w:p>
    <w:p w14:paraId="7800E7C0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lastRenderedPageBreak/>
        <w:t>En esa línea, señaló que no se trata de repetir externamente prácticas del pasado, sino de asumir su profundidad evangélica: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“No hacer aquello de vamos a hacer lo mismo que hacía Jesús, más bien hay que hacer lo equivalente”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 Este estilo, añadió, atraviesa también el ejercicio de la autoridad, el discernimiento comunitario y la rendición de cuentas.</w:t>
      </w:r>
    </w:p>
    <w:p w14:paraId="55C7AEDA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De allí que insistiera en que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conversión sinodal comienza por una transformación interior: “Sin cambio de estilo no hay auténtica conversión también sinodal”.</w:t>
      </w:r>
    </w:p>
    <w:p w14:paraId="688BD602" w14:textId="77777777" w:rsidR="00A64A6D" w:rsidRPr="00A64A6D" w:rsidRDefault="00A64A6D" w:rsidP="00A64A6D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noProof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drawing>
          <wp:inline distT="0" distB="0" distL="0" distR="0" wp14:anchorId="16C5C29F" wp14:editId="78FAFFF2">
            <wp:extent cx="5666574" cy="3175000"/>
            <wp:effectExtent l="0" t="0" r="0" b="6350"/>
            <wp:docPr id="2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161" cy="318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Estructuras que custodien el espíritu</w:t>
      </w:r>
    </w:p>
    <w:p w14:paraId="579DEB62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Al abordar el segundo componente,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explicó que la sinodalidad “adjetiva las estructuras, es decir, las califica”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 Las estructuras, sostuvo, no son un problema en sí mismas, sino que requieren discernimiento sobre la forma que adoptan y el espíritu que encarnan.</w:t>
      </w:r>
    </w:p>
    <w:p w14:paraId="605BF494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“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armonía se institucionaliza sin perder su carácter relacional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dijo, e indicó que las estructuras existen para custodiar el estilo y no para sustituirlo. Por ello, precisó que el verdadero desafío no es la existencia de organización eclesial, sino su orientación: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“La iglesia también está estructurada de una manera. Y entonces aquí el problema no es que sea estructurada, sino de qué forma se estructura”.</w:t>
      </w:r>
    </w:p>
    <w:p w14:paraId="42C2B3C6" w14:textId="77777777" w:rsid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En este punto, llamó a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evaluar si las estructuras transmiten valores evangélicos, si son justas y si funcionan como cauces para la misión, evitando convertirse en mecanismos de preservación institucional.</w:t>
      </w:r>
    </w:p>
    <w:p w14:paraId="3887C8C1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42777CE2" w14:textId="77777777" w:rsidR="00A64A6D" w:rsidRPr="00A64A6D" w:rsidRDefault="00A64A6D" w:rsidP="00A64A6D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Procesos que dinamizan la vida eclesial</w:t>
      </w:r>
    </w:p>
    <w:p w14:paraId="7CFECEA7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El tercer elemento desarrollado fue el de los procesos.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Palafox advirtió que “cuando una estructura no incluye procesos se hace rígida”, resaltando que la vida pastoral requiere dinamismo histórico y apertura al cambio.</w:t>
      </w:r>
    </w:p>
    <w:p w14:paraId="564AD3BA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Definió el proceso sinodal como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“el resultado de la conducta relacional de los agentes frente a una situación socio-eclesial existente”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es decir, una respuesta comunitaria situada en la realidad concreta.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Recordó además que el propio 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lastRenderedPageBreak/>
        <w:t>camino de Jesús estuvo marcado por un desarrollo histórico: “Jesús fue un hombre en proceso, un ser en proceso, con una historia que se va haciendo”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0FA9788A" w14:textId="77777777" w:rsid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Explicó que la sinodalidad no es un acto puntual, sino un camino continuo en el que convergen ritmos diversos con un horizonte común. “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Los procesos pastorales tienen ritmos diversos y rumbos comunes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señaló, comparándolos con una peregrinación en la que cada grupo avanza a su propio paso, pero compartiendo la misma dirección.</w:t>
      </w:r>
    </w:p>
    <w:p w14:paraId="0236E57A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7382042C" w14:textId="77777777" w:rsidR="00A64A6D" w:rsidRPr="00A64A6D" w:rsidRDefault="00A64A6D" w:rsidP="00A64A6D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Eventos que expresan el camino y la evaluación para clarificar, rectificar y radicalizar</w:t>
      </w:r>
    </w:p>
    <w:p w14:paraId="5DE6F51B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En cuanto a los eventos, como sínodos, asambleas o congresos, aclaró que no se oponen a los procesos, sino que son su expresión visible: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“Es la manifestación histórica y visible del proceso”. 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Sin embargo, advirtió que cuando los eventos no están sustentados por un proceso previo y posterior, pierden consistencia: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“Si no está sustentado por un proceso subyacente, el evento se cae por sí mismo”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 insistió en que no pueden absolutizarse ni reducir la sinodalidad a momentos puntuales.</w:t>
      </w:r>
    </w:p>
    <w:p w14:paraId="00560705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Como quinto componente propuso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evaluación, inspirada en la práctica de Jesús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a quien describió como alguien que clarificaba situaciones, rectificaba caminos y radicalizaba el sentido de la misión.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“La práctica de Jesús fue de clarificación, de rectificación y de radicalización”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sostuvo.</w:t>
      </w:r>
    </w:p>
    <w:p w14:paraId="7F58081B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Evaluar, explicó, implica comprender lo que realmente ocurre, ajustar la práctica a la verdad descubierta y asumir con coherencia las consecuencias del discernimiento. 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Este dinamismo, lejos de ser un ejercicio burocrático, forma parte del camino espiritual y pastoral de la comunidad.</w:t>
      </w:r>
    </w:p>
    <w:p w14:paraId="2DE4DF45" w14:textId="77777777" w:rsidR="00A64A6D" w:rsidRDefault="00A64A6D" w:rsidP="00A64A6D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noProof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drawing>
          <wp:inline distT="0" distB="0" distL="0" distR="0" wp14:anchorId="022C5B1D" wp14:editId="344F8FFC">
            <wp:extent cx="4902200" cy="3020735"/>
            <wp:effectExtent l="0" t="0" r="0" b="8255"/>
            <wp:docPr id="3" name="Imagen 1" descr="Diagram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Diagrama,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366" cy="302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BE3FA" w14:textId="0F0E2D19" w:rsidR="00A64A6D" w:rsidRPr="00A64A6D" w:rsidRDefault="00A64A6D" w:rsidP="00A64A6D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La armonía como clave integradora</w:t>
      </w:r>
    </w:p>
    <w:p w14:paraId="67A5D2E6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En la parte final de su intervención, Palafox ahondó en la noción de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armonía como clave articuladora de los cinco elementos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“No es la suma de partes, sino el dinamismo relacional”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señaló, y remarcó que la armonía integra diferencias y ministerios diversos sin anularlos.</w:t>
      </w:r>
    </w:p>
    <w:p w14:paraId="5F989CBE" w14:textId="77777777" w:rsid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lastRenderedPageBreak/>
        <w:t>Retomando el horizonte propuesto por el Papa Francisco, recordó que la sinodalidad se sostiene en la inseparable relación entre comunión, participación y misión. “No puedo pensar una si no pienso las tres”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expresó, sintetizando su propuesta en una afirmación final: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“No hay sinodalidad solo como evento. No hay procesos sinodales sin evaluación. No hay estructuras sinodales sin estilo evangélico. Todo converge en armonía sinodal</w:t>
      </w: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A64A6D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que es relacional, espiritual y práctico”.</w:t>
      </w:r>
    </w:p>
    <w:p w14:paraId="413B34B1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7CC20108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Le puede interesar: </w:t>
      </w:r>
      <w:hyperlink r:id="rId13" w:tgtFrame="_blank" w:history="1">
        <w:r w:rsidRPr="00A64A6D">
          <w:rPr>
            <w:rFonts w:ascii="inherit" w:eastAsia="Times New Roman" w:hAnsi="inherit" w:cs="Times New Roman"/>
            <w:color w:val="42B8D4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Padre Francisco Hernández analiza el desafío de tejer redes en una Iglesia sinodal</w:t>
        </w:r>
      </w:hyperlink>
    </w:p>
    <w:p w14:paraId="39AE9235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Suscríbete gratis por a nuestro canal de </w:t>
      </w:r>
      <w:proofErr w:type="spellStart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Whatsapp</w:t>
      </w:r>
      <w:proofErr w:type="spellEnd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</w:t>
      </w:r>
      <w:hyperlink r:id="rId14" w:history="1">
        <w:r w:rsidRPr="00A64A6D">
          <w:rPr>
            <w:rFonts w:ascii="inherit" w:eastAsia="Times New Roman" w:hAnsi="inherit" w:cs="Times New Roman"/>
            <w:color w:val="42B8D4"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>https://bit.ly/4hbWWN0</w:t>
        </w:r>
      </w:hyperlink>
    </w:p>
    <w:p w14:paraId="792BD04B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Descarga la versión popular de </w:t>
      </w:r>
      <w:proofErr w:type="spellStart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Rerum</w:t>
      </w:r>
      <w:proofErr w:type="spellEnd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novarum</w:t>
      </w:r>
      <w:proofErr w:type="spellEnd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la encíclica primera encíclica que marcó la historia social de la Iglesia </w:t>
      </w:r>
      <w:hyperlink r:id="rId15" w:history="1">
        <w:r w:rsidRPr="00A64A6D">
          <w:rPr>
            <w:rFonts w:ascii="inherit" w:eastAsia="Times New Roman" w:hAnsi="inherit" w:cs="Times New Roman"/>
            <w:color w:val="42B8D4"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>https://bit.ly/4q1aKho</w:t>
        </w:r>
      </w:hyperlink>
    </w:p>
    <w:p w14:paraId="20E2D3AB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Descubre la nueva oferta 2026 de cursos, diplomados y licenciaturas en el </w:t>
      </w:r>
      <w:proofErr w:type="spellStart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Cebitepal</w:t>
      </w:r>
      <w:proofErr w:type="spellEnd"/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</w:t>
      </w:r>
      <w:hyperlink r:id="rId16" w:history="1">
        <w:r w:rsidRPr="00A64A6D">
          <w:rPr>
            <w:rFonts w:ascii="inherit" w:eastAsia="Times New Roman" w:hAnsi="inherit" w:cs="Times New Roman"/>
            <w:color w:val="42B8D4"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>https://bit.ly/4aHAue1</w:t>
        </w:r>
      </w:hyperlink>
    </w:p>
    <w:p w14:paraId="38DF1BDE" w14:textId="77777777" w:rsidR="00A64A6D" w:rsidRPr="00A64A6D" w:rsidRDefault="00A64A6D" w:rsidP="00A64A6D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A64A6D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Porque hay que cuidar a quienes protegen la creación, llega el podcast La Vida pende de un Hilo </w:t>
      </w:r>
      <w:hyperlink r:id="rId17" w:history="1">
        <w:r w:rsidRPr="00A64A6D">
          <w:rPr>
            <w:rFonts w:ascii="inherit" w:eastAsia="Times New Roman" w:hAnsi="inherit" w:cs="Times New Roman"/>
            <w:color w:val="42B8D4"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>https://bit.ly/46cGUiB</w:t>
        </w:r>
      </w:hyperlink>
    </w:p>
    <w:p w14:paraId="21381772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6D"/>
    <w:rsid w:val="00926044"/>
    <w:rsid w:val="00A64A6D"/>
    <w:rsid w:val="00C365E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0820"/>
  <w15:chartTrackingRefBased/>
  <w15:docId w15:val="{2C4351BF-3AEE-4C78-AFE7-AD70BBE1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A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A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A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A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A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A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A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4A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A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A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n.celam.org/category/portada/" TargetMode="External"/><Relationship Id="rId13" Type="http://schemas.openxmlformats.org/officeDocument/2006/relationships/hyperlink" Target="https://adn.celam.org/padre-francisco-hernandez-analiza-el-desafio-de-tejer-redes-en-una-iglesia-sinoda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n.celam.org/category/sinodo/noticias-sinodo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bit.ly/46cGUi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t.ly/4aHAue1" TargetMode="External"/><Relationship Id="rId1" Type="http://schemas.openxmlformats.org/officeDocument/2006/relationships/styles" Target="styles.xml"/><Relationship Id="rId6" Type="http://schemas.openxmlformats.org/officeDocument/2006/relationships/hyperlink" Target="https://adn.celam.org/category/mundo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adn.celam.org/category/celam/" TargetMode="External"/><Relationship Id="rId15" Type="http://schemas.openxmlformats.org/officeDocument/2006/relationships/hyperlink" Target="https://bit.ly/4q1aKho" TargetMode="External"/><Relationship Id="rId10" Type="http://schemas.openxmlformats.org/officeDocument/2006/relationships/hyperlink" Target="https://www.synod.va/content/dam/synod/news/2024-10-26_final-document/ESP---Documento-finale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dn.celam.org/author/micaeladiaz/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bit.ly/4hbWWN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2026-02-25T19:58:00Z</dcterms:created>
  <dcterms:modified xsi:type="dcterms:W3CDTF">2026-02-25T19:59:00Z</dcterms:modified>
</cp:coreProperties>
</file>