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A6E0A" w14:textId="20EE54D6" w:rsidR="008B0684" w:rsidRDefault="008B0684" w:rsidP="008B0684">
      <w:pPr>
        <w:spacing w:after="0" w:line="240" w:lineRule="auto"/>
        <w:jc w:val="both"/>
        <w:rPr>
          <w:rFonts w:ascii="Arial" w:eastAsia="Times New Roman" w:hAnsi="Arial" w:cs="Arial"/>
          <w:color w:val="666666"/>
          <w:kern w:val="0"/>
          <w:sz w:val="21"/>
          <w:szCs w:val="21"/>
          <w:lang w:eastAsia="es-UY"/>
          <w14:ligatures w14:val="none"/>
        </w:rPr>
      </w:pPr>
      <w:r w:rsidRPr="008B0684">
        <w:rPr>
          <w:rFonts w:ascii="Arial" w:eastAsia="Times New Roman" w:hAnsi="Arial" w:cs="Arial"/>
          <w:color w:val="666666"/>
          <w:kern w:val="0"/>
          <w:sz w:val="21"/>
          <w:szCs w:val="21"/>
          <w:lang w:eastAsia="es-UY"/>
          <w14:ligatures w14:val="none"/>
        </w:rPr>
        <w:drawing>
          <wp:inline distT="0" distB="0" distL="0" distR="0" wp14:anchorId="72396982" wp14:editId="11B0D2BB">
            <wp:extent cx="5400040" cy="2614930"/>
            <wp:effectExtent l="0" t="0" r="0" b="0"/>
            <wp:docPr id="130407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73979" name=""/>
                    <pic:cNvPicPr/>
                  </pic:nvPicPr>
                  <pic:blipFill>
                    <a:blip r:embed="rId4"/>
                    <a:stretch>
                      <a:fillRect/>
                    </a:stretch>
                  </pic:blipFill>
                  <pic:spPr>
                    <a:xfrm>
                      <a:off x="0" y="0"/>
                      <a:ext cx="5400040" cy="2614930"/>
                    </a:xfrm>
                    <a:prstGeom prst="rect">
                      <a:avLst/>
                    </a:prstGeom>
                  </pic:spPr>
                </pic:pic>
              </a:graphicData>
            </a:graphic>
          </wp:inline>
        </w:drawing>
      </w:r>
    </w:p>
    <w:p w14:paraId="2C6D158F" w14:textId="77777777" w:rsidR="008B0684" w:rsidRDefault="008B0684" w:rsidP="008B0684">
      <w:pPr>
        <w:spacing w:after="0" w:line="240" w:lineRule="auto"/>
        <w:jc w:val="both"/>
        <w:rPr>
          <w:rFonts w:ascii="Arial" w:eastAsia="Times New Roman" w:hAnsi="Arial" w:cs="Arial"/>
          <w:color w:val="666666"/>
          <w:kern w:val="0"/>
          <w:sz w:val="21"/>
          <w:szCs w:val="21"/>
          <w:lang w:eastAsia="es-UY"/>
          <w14:ligatures w14:val="none"/>
        </w:rPr>
      </w:pPr>
    </w:p>
    <w:p w14:paraId="4A6D1C60" w14:textId="5C2C595C" w:rsidR="008B0684" w:rsidRPr="008B0684" w:rsidRDefault="008B0684" w:rsidP="008B0684">
      <w:pPr>
        <w:spacing w:after="0" w:line="240" w:lineRule="auto"/>
        <w:jc w:val="both"/>
        <w:rPr>
          <w:rFonts w:ascii="Arial" w:eastAsia="Times New Roman" w:hAnsi="Arial" w:cs="Arial"/>
          <w:color w:val="666666"/>
          <w:kern w:val="0"/>
          <w:sz w:val="21"/>
          <w:szCs w:val="21"/>
          <w:lang w:eastAsia="es-UY"/>
          <w14:ligatures w14:val="none"/>
        </w:rPr>
      </w:pPr>
      <w:r w:rsidRPr="008B0684">
        <w:rPr>
          <w:rFonts w:ascii="Arial" w:eastAsia="Times New Roman" w:hAnsi="Arial" w:cs="Arial"/>
          <w:color w:val="666666"/>
          <w:kern w:val="0"/>
          <w:sz w:val="21"/>
          <w:szCs w:val="21"/>
          <w:lang w:eastAsia="es-UY"/>
          <w14:ligatures w14:val="none"/>
        </w:rPr>
        <w:t>6 de marzo de 2026</w:t>
      </w:r>
    </w:p>
    <w:p w14:paraId="56E672E7"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Los </w:t>
      </w:r>
      <w:hyperlink r:id="rId5" w:tgtFrame="_blank" w:history="1">
        <w:r w:rsidRPr="008B0684">
          <w:rPr>
            <w:rFonts w:ascii="Arial" w:eastAsia="Times New Roman" w:hAnsi="Arial" w:cs="Arial"/>
            <w:color w:val="FC6B01"/>
            <w:kern w:val="0"/>
            <w:sz w:val="27"/>
            <w:szCs w:val="27"/>
            <w:u w:val="single"/>
            <w:lang w:eastAsia="es-UY"/>
            <w14:ligatures w14:val="none"/>
          </w:rPr>
          <w:t>casos de feminicidio</w:t>
        </w:r>
      </w:hyperlink>
      <w:r w:rsidRPr="008B0684">
        <w:rPr>
          <w:rFonts w:ascii="Arial" w:eastAsia="Times New Roman" w:hAnsi="Arial" w:cs="Arial"/>
          <w:color w:val="666666"/>
          <w:kern w:val="0"/>
          <w:sz w:val="27"/>
          <w:szCs w:val="27"/>
          <w:lang w:eastAsia="es-UY"/>
          <w14:ligatures w14:val="none"/>
        </w:rPr>
        <w:t> reportados en la prensa en los últimos meses confirman un hallazgo recurrente en los indicadores recolectados por las instituciones que monitorean </w:t>
      </w:r>
      <w:r w:rsidRPr="008B0684">
        <w:rPr>
          <w:rFonts w:ascii="Arial" w:eastAsia="Times New Roman" w:hAnsi="Arial" w:cs="Arial"/>
          <w:b/>
          <w:bCs/>
          <w:color w:val="666666"/>
          <w:kern w:val="0"/>
          <w:sz w:val="27"/>
          <w:szCs w:val="27"/>
          <w:lang w:eastAsia="es-UY"/>
          <w14:ligatures w14:val="none"/>
        </w:rPr>
        <w:t>la violencia contra las mujeres</w:t>
      </w:r>
      <w:r w:rsidRPr="008B0684">
        <w:rPr>
          <w:rFonts w:ascii="Arial" w:eastAsia="Times New Roman" w:hAnsi="Arial" w:cs="Arial"/>
          <w:color w:val="666666"/>
          <w:kern w:val="0"/>
          <w:sz w:val="27"/>
          <w:szCs w:val="27"/>
          <w:lang w:eastAsia="es-UY"/>
          <w14:ligatures w14:val="none"/>
        </w:rPr>
        <w:t> : "dos tercios de los casos ocurren dentro del hogar, lo que hace que la ruptura sea aún más compleja, porque el agresor está inserto en la vida cotidiana de la víctima", señala </w:t>
      </w:r>
      <w:r w:rsidRPr="008B0684">
        <w:rPr>
          <w:rFonts w:ascii="Arial" w:eastAsia="Times New Roman" w:hAnsi="Arial" w:cs="Arial"/>
          <w:b/>
          <w:bCs/>
          <w:color w:val="666666"/>
          <w:kern w:val="0"/>
          <w:sz w:val="27"/>
          <w:szCs w:val="27"/>
          <w:lang w:eastAsia="es-UY"/>
          <w14:ligatures w14:val="none"/>
        </w:rPr>
        <w:t>Cristiani Gentil Ricordi</w:t>
      </w:r>
      <w:r w:rsidRPr="008B0684">
        <w:rPr>
          <w:rFonts w:ascii="Arial" w:eastAsia="Times New Roman" w:hAnsi="Arial" w:cs="Arial"/>
          <w:color w:val="666666"/>
          <w:kern w:val="0"/>
          <w:sz w:val="27"/>
          <w:szCs w:val="27"/>
          <w:lang w:eastAsia="es-UY"/>
          <w14:ligatures w14:val="none"/>
        </w:rPr>
        <w:t> , investigadora del </w:t>
      </w:r>
      <w:r w:rsidRPr="008B0684">
        <w:rPr>
          <w:rFonts w:ascii="Arial" w:eastAsia="Times New Roman" w:hAnsi="Arial" w:cs="Arial"/>
          <w:b/>
          <w:bCs/>
          <w:color w:val="666666"/>
          <w:kern w:val="0"/>
          <w:sz w:val="27"/>
          <w:szCs w:val="27"/>
          <w:lang w:eastAsia="es-UY"/>
          <w14:ligatures w14:val="none"/>
        </w:rPr>
        <w:t>Observatorio Nosotras</w:t>
      </w:r>
      <w:r w:rsidRPr="008B0684">
        <w:rPr>
          <w:rFonts w:ascii="Arial" w:eastAsia="Times New Roman" w:hAnsi="Arial" w:cs="Arial"/>
          <w:color w:val="666666"/>
          <w:kern w:val="0"/>
          <w:sz w:val="27"/>
          <w:szCs w:val="27"/>
          <w:lang w:eastAsia="es-UY"/>
          <w14:ligatures w14:val="none"/>
        </w:rPr>
        <w:t> , de la Universidad Católica de Pelotas ( </w:t>
      </w:r>
      <w:proofErr w:type="spellStart"/>
      <w:r w:rsidRPr="008B0684">
        <w:rPr>
          <w:rFonts w:ascii="Arial" w:eastAsia="Times New Roman" w:hAnsi="Arial" w:cs="Arial"/>
          <w:b/>
          <w:bCs/>
          <w:color w:val="666666"/>
          <w:kern w:val="0"/>
          <w:sz w:val="27"/>
          <w:szCs w:val="27"/>
          <w:lang w:eastAsia="es-UY"/>
          <w14:ligatures w14:val="none"/>
        </w:rPr>
        <w:t>UCPel</w:t>
      </w:r>
      <w:proofErr w:type="spellEnd"/>
      <w:r w:rsidRPr="008B0684">
        <w:rPr>
          <w:rFonts w:ascii="Arial" w:eastAsia="Times New Roman" w:hAnsi="Arial" w:cs="Arial"/>
          <w:color w:val="666666"/>
          <w:kern w:val="0"/>
          <w:sz w:val="27"/>
          <w:szCs w:val="27"/>
          <w:lang w:eastAsia="es-UY"/>
          <w14:ligatures w14:val="none"/>
        </w:rPr>
        <w:t> ), en la siguiente entrevista, concedida por correo electrónico al </w:t>
      </w:r>
      <w:r w:rsidRPr="008B0684">
        <w:rPr>
          <w:rFonts w:ascii="Arial" w:eastAsia="Times New Roman" w:hAnsi="Arial" w:cs="Arial"/>
          <w:b/>
          <w:bCs/>
          <w:color w:val="666666"/>
          <w:kern w:val="0"/>
          <w:sz w:val="27"/>
          <w:szCs w:val="27"/>
          <w:lang w:eastAsia="es-UY"/>
          <w14:ligatures w14:val="none"/>
        </w:rPr>
        <w:t xml:space="preserve">Instituto </w:t>
      </w:r>
      <w:proofErr w:type="spellStart"/>
      <w:r w:rsidRPr="008B0684">
        <w:rPr>
          <w:rFonts w:ascii="Arial" w:eastAsia="Times New Roman" w:hAnsi="Arial" w:cs="Arial"/>
          <w:b/>
          <w:bCs/>
          <w:color w:val="666666"/>
          <w:kern w:val="0"/>
          <w:sz w:val="27"/>
          <w:szCs w:val="27"/>
          <w:lang w:eastAsia="es-UY"/>
          <w14:ligatures w14:val="none"/>
        </w:rPr>
        <w:t>Humanitas</w:t>
      </w:r>
      <w:proofErr w:type="spellEnd"/>
      <w:r w:rsidRPr="008B0684">
        <w:rPr>
          <w:rFonts w:ascii="Arial" w:eastAsia="Times New Roman" w:hAnsi="Arial" w:cs="Arial"/>
          <w:b/>
          <w:bCs/>
          <w:color w:val="666666"/>
          <w:kern w:val="0"/>
          <w:sz w:val="27"/>
          <w:szCs w:val="27"/>
          <w:lang w:eastAsia="es-UY"/>
          <w14:ligatures w14:val="none"/>
        </w:rPr>
        <w:t xml:space="preserve"> </w:t>
      </w:r>
      <w:proofErr w:type="spellStart"/>
      <w:r w:rsidRPr="008B0684">
        <w:rPr>
          <w:rFonts w:ascii="Arial" w:eastAsia="Times New Roman" w:hAnsi="Arial" w:cs="Arial"/>
          <w:b/>
          <w:bCs/>
          <w:color w:val="666666"/>
          <w:kern w:val="0"/>
          <w:sz w:val="27"/>
          <w:szCs w:val="27"/>
          <w:lang w:eastAsia="es-UY"/>
          <w14:ligatures w14:val="none"/>
        </w:rPr>
        <w:t>Unisinos</w:t>
      </w:r>
      <w:proofErr w:type="spellEnd"/>
      <w:r w:rsidRPr="008B0684">
        <w:rPr>
          <w:rFonts w:ascii="Arial" w:eastAsia="Times New Roman" w:hAnsi="Arial" w:cs="Arial"/>
          <w:b/>
          <w:bCs/>
          <w:color w:val="666666"/>
          <w:kern w:val="0"/>
          <w:sz w:val="27"/>
          <w:szCs w:val="27"/>
          <w:lang w:eastAsia="es-UY"/>
          <w14:ligatures w14:val="none"/>
        </w:rPr>
        <w:t xml:space="preserve"> – IHU</w:t>
      </w:r>
      <w:r w:rsidRPr="008B0684">
        <w:rPr>
          <w:rFonts w:ascii="Arial" w:eastAsia="Times New Roman" w:hAnsi="Arial" w:cs="Arial"/>
          <w:color w:val="666666"/>
          <w:kern w:val="0"/>
          <w:sz w:val="27"/>
          <w:szCs w:val="27"/>
          <w:lang w:eastAsia="es-UY"/>
          <w14:ligatures w14:val="none"/>
        </w:rPr>
        <w:t> .</w:t>
      </w:r>
    </w:p>
    <w:p w14:paraId="6012F9BF"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1D2F490"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Según ella, </w:t>
      </w:r>
      <w:hyperlink r:id="rId6" w:tgtFrame="_blank" w:history="1">
        <w:r w:rsidRPr="008B0684">
          <w:rPr>
            <w:rFonts w:ascii="Arial" w:eastAsia="Times New Roman" w:hAnsi="Arial" w:cs="Arial"/>
            <w:color w:val="FC6B01"/>
            <w:kern w:val="0"/>
            <w:sz w:val="27"/>
            <w:szCs w:val="27"/>
            <w:u w:val="single"/>
            <w:lang w:eastAsia="es-UY"/>
            <w14:ligatures w14:val="none"/>
          </w:rPr>
          <w:t>el feminicidio</w:t>
        </w:r>
      </w:hyperlink>
      <w:r w:rsidRPr="008B0684">
        <w:rPr>
          <w:rFonts w:ascii="Arial" w:eastAsia="Times New Roman" w:hAnsi="Arial" w:cs="Arial"/>
          <w:color w:val="666666"/>
          <w:kern w:val="0"/>
          <w:sz w:val="27"/>
          <w:szCs w:val="27"/>
          <w:lang w:eastAsia="es-UY"/>
          <w14:ligatures w14:val="none"/>
        </w:rPr>
        <w:t> es recurrente en las relaciones de pareja "porque es precisamente en estos espacios donde la lógica de posesión y control se manifiesta con mayor fuerza". Sin embargo, advierte, el </w:t>
      </w:r>
      <w:r w:rsidRPr="008B0684">
        <w:rPr>
          <w:rFonts w:ascii="Arial" w:eastAsia="Times New Roman" w:hAnsi="Arial" w:cs="Arial"/>
          <w:b/>
          <w:bCs/>
          <w:color w:val="666666"/>
          <w:kern w:val="0"/>
          <w:sz w:val="27"/>
          <w:szCs w:val="27"/>
          <w:lang w:eastAsia="es-UY"/>
          <w14:ligatures w14:val="none"/>
        </w:rPr>
        <w:t>asesinato de mujeres</w:t>
      </w:r>
      <w:r w:rsidRPr="008B0684">
        <w:rPr>
          <w:rFonts w:ascii="Arial" w:eastAsia="Times New Roman" w:hAnsi="Arial" w:cs="Arial"/>
          <w:color w:val="666666"/>
          <w:kern w:val="0"/>
          <w:sz w:val="27"/>
          <w:szCs w:val="27"/>
          <w:lang w:eastAsia="es-UY"/>
          <w14:ligatures w14:val="none"/>
        </w:rPr>
        <w:t> no ocurre de repente. "Suele ser la culminación de una historia de violencia y violaciones —psicológicas, morales y físicas— que a menudo se han ido acumulando a lo largo de la relación". </w:t>
      </w:r>
      <w:r w:rsidRPr="008B0684">
        <w:rPr>
          <w:rFonts w:ascii="Arial" w:eastAsia="Times New Roman" w:hAnsi="Arial" w:cs="Arial"/>
          <w:b/>
          <w:bCs/>
          <w:color w:val="666666"/>
          <w:kern w:val="0"/>
          <w:sz w:val="27"/>
          <w:szCs w:val="27"/>
          <w:lang w:eastAsia="es-UY"/>
          <w14:ligatures w14:val="none"/>
        </w:rPr>
        <w:t>El feminicidio</w:t>
      </w:r>
      <w:r w:rsidRPr="008B0684">
        <w:rPr>
          <w:rFonts w:ascii="Arial" w:eastAsia="Times New Roman" w:hAnsi="Arial" w:cs="Arial"/>
          <w:color w:val="666666"/>
          <w:kern w:val="0"/>
          <w:sz w:val="27"/>
          <w:szCs w:val="27"/>
          <w:lang w:eastAsia="es-UY"/>
          <w14:ligatures w14:val="none"/>
        </w:rPr>
        <w:t> , explica, "es expresión de una estructura histórica de desigualdad y dominación de género", que se ha transmitido de generación en generación.</w:t>
      </w:r>
    </w:p>
    <w:p w14:paraId="5D7FE312"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4FD20AF"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Según el </w:t>
      </w:r>
      <w:r w:rsidRPr="008B0684">
        <w:rPr>
          <w:rFonts w:ascii="Arial" w:eastAsia="Times New Roman" w:hAnsi="Arial" w:cs="Arial"/>
          <w:b/>
          <w:bCs/>
          <w:color w:val="666666"/>
          <w:kern w:val="0"/>
          <w:sz w:val="27"/>
          <w:szCs w:val="27"/>
          <w:lang w:eastAsia="es-UY"/>
          <w14:ligatures w14:val="none"/>
        </w:rPr>
        <w:t>Observatorio Nosotras</w:t>
      </w:r>
      <w:r w:rsidRPr="008B0684">
        <w:rPr>
          <w:rFonts w:ascii="Arial" w:eastAsia="Times New Roman" w:hAnsi="Arial" w:cs="Arial"/>
          <w:color w:val="666666"/>
          <w:kern w:val="0"/>
          <w:sz w:val="27"/>
          <w:szCs w:val="27"/>
          <w:lang w:eastAsia="es-UY"/>
          <w14:ligatures w14:val="none"/>
        </w:rPr>
        <w:t> , solo en los primeros dos meses de este año, </w:t>
      </w:r>
      <w:hyperlink r:id="rId7" w:tgtFrame="_blank" w:history="1">
        <w:r w:rsidRPr="008B0684">
          <w:rPr>
            <w:rFonts w:ascii="Arial" w:eastAsia="Times New Roman" w:hAnsi="Arial" w:cs="Arial"/>
            <w:color w:val="FC6B01"/>
            <w:kern w:val="0"/>
            <w:sz w:val="27"/>
            <w:szCs w:val="27"/>
            <w:u w:val="single"/>
            <w:lang w:eastAsia="es-UY"/>
            <w14:ligatures w14:val="none"/>
          </w:rPr>
          <w:t>el feminicidio aumentó un 53% en Rio Grande do Sul</w:t>
        </w:r>
      </w:hyperlink>
      <w:r w:rsidRPr="008B0684">
        <w:rPr>
          <w:rFonts w:ascii="Arial" w:eastAsia="Times New Roman" w:hAnsi="Arial" w:cs="Arial"/>
          <w:color w:val="666666"/>
          <w:kern w:val="0"/>
          <w:sz w:val="27"/>
          <w:szCs w:val="27"/>
          <w:lang w:eastAsia="es-UY"/>
          <w14:ligatures w14:val="none"/>
        </w:rPr>
        <w:t> en comparación con el mismo período del año pasado. Informa que para 2025, “Rio Grande do </w:t>
      </w:r>
      <w:r w:rsidRPr="008B0684">
        <w:rPr>
          <w:rFonts w:ascii="Arial" w:eastAsia="Times New Roman" w:hAnsi="Arial" w:cs="Arial"/>
          <w:b/>
          <w:bCs/>
          <w:color w:val="666666"/>
          <w:kern w:val="0"/>
          <w:sz w:val="27"/>
          <w:szCs w:val="27"/>
          <w:lang w:eastAsia="es-UY"/>
          <w14:ligatures w14:val="none"/>
        </w:rPr>
        <w:t>Sul</w:t>
      </w:r>
      <w:r w:rsidRPr="008B0684">
        <w:rPr>
          <w:rFonts w:ascii="Arial" w:eastAsia="Times New Roman" w:hAnsi="Arial" w:cs="Arial"/>
          <w:color w:val="666666"/>
          <w:kern w:val="0"/>
          <w:sz w:val="27"/>
          <w:szCs w:val="27"/>
          <w:lang w:eastAsia="es-UY"/>
          <w14:ligatures w14:val="none"/>
        </w:rPr>
        <w:t xml:space="preserve"> habrá registrado 31.558 casos de amenazas, que son los primeros signos de violencia y control; 18.455 casos de lesiones corporales; 2.354 casos de violación; 264 casos de intento de feminicidio, cuando hay un intento de homicidio por razón de género; y 80 feminicidios consumados, que es cuando la violencia termina en muerte”. El Observatorio </w:t>
      </w:r>
      <w:proofErr w:type="gramStart"/>
      <w:r w:rsidRPr="008B0684">
        <w:rPr>
          <w:rFonts w:ascii="Arial" w:eastAsia="Times New Roman" w:hAnsi="Arial" w:cs="Arial"/>
          <w:color w:val="666666"/>
          <w:kern w:val="0"/>
          <w:sz w:val="27"/>
          <w:szCs w:val="27"/>
          <w:lang w:eastAsia="es-UY"/>
          <w14:ligatures w14:val="none"/>
        </w:rPr>
        <w:t>Nosotras monitorea</w:t>
      </w:r>
      <w:proofErr w:type="gramEnd"/>
      <w:r w:rsidRPr="008B0684">
        <w:rPr>
          <w:rFonts w:ascii="Arial" w:eastAsia="Times New Roman" w:hAnsi="Arial" w:cs="Arial"/>
          <w:color w:val="666666"/>
          <w:kern w:val="0"/>
          <w:sz w:val="27"/>
          <w:szCs w:val="27"/>
          <w:lang w:eastAsia="es-UY"/>
          <w14:ligatures w14:val="none"/>
        </w:rPr>
        <w:t xml:space="preserve"> y analiza datos sobre violencia contra las mujeres en 22 municipios de la mitad sur de Rio </w:t>
      </w:r>
      <w:r w:rsidRPr="008B0684">
        <w:rPr>
          <w:rFonts w:ascii="Arial" w:eastAsia="Times New Roman" w:hAnsi="Arial" w:cs="Arial"/>
          <w:color w:val="666666"/>
          <w:kern w:val="0"/>
          <w:sz w:val="27"/>
          <w:szCs w:val="27"/>
          <w:lang w:eastAsia="es-UY"/>
          <w14:ligatures w14:val="none"/>
        </w:rPr>
        <w:lastRenderedPageBreak/>
        <w:t>Grande do Sul, con base en indicadores publicados por la </w:t>
      </w:r>
      <w:r w:rsidRPr="008B0684">
        <w:rPr>
          <w:rFonts w:ascii="Arial" w:eastAsia="Times New Roman" w:hAnsi="Arial" w:cs="Arial"/>
          <w:b/>
          <w:bCs/>
          <w:color w:val="666666"/>
          <w:kern w:val="0"/>
          <w:sz w:val="27"/>
          <w:szCs w:val="27"/>
          <w:lang w:eastAsia="es-UY"/>
          <w14:ligatures w14:val="none"/>
        </w:rPr>
        <w:t>Secretaría de Seguridad Pública</w:t>
      </w:r>
      <w:r w:rsidRPr="008B0684">
        <w:rPr>
          <w:rFonts w:ascii="Arial" w:eastAsia="Times New Roman" w:hAnsi="Arial" w:cs="Arial"/>
          <w:color w:val="666666"/>
          <w:kern w:val="0"/>
          <w:sz w:val="27"/>
          <w:szCs w:val="27"/>
          <w:lang w:eastAsia="es-UY"/>
          <w14:ligatures w14:val="none"/>
        </w:rPr>
        <w:t> de Rio </w:t>
      </w:r>
      <w:r w:rsidRPr="008B0684">
        <w:rPr>
          <w:rFonts w:ascii="Arial" w:eastAsia="Times New Roman" w:hAnsi="Arial" w:cs="Arial"/>
          <w:b/>
          <w:bCs/>
          <w:color w:val="666666"/>
          <w:kern w:val="0"/>
          <w:sz w:val="27"/>
          <w:szCs w:val="27"/>
          <w:lang w:eastAsia="es-UY"/>
          <w14:ligatures w14:val="none"/>
        </w:rPr>
        <w:t>Grande do Sul</w:t>
      </w:r>
      <w:r w:rsidRPr="008B0684">
        <w:rPr>
          <w:rFonts w:ascii="Arial" w:eastAsia="Times New Roman" w:hAnsi="Arial" w:cs="Arial"/>
          <w:color w:val="666666"/>
          <w:kern w:val="0"/>
          <w:sz w:val="27"/>
          <w:szCs w:val="27"/>
          <w:lang w:eastAsia="es-UY"/>
          <w14:ligatures w14:val="none"/>
        </w:rPr>
        <w:t> .</w:t>
      </w:r>
    </w:p>
    <w:p w14:paraId="71E236E1"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2DDBDAC1"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En este contexto, </w:t>
      </w:r>
      <w:hyperlink r:id="rId8" w:tgtFrame="_blank" w:history="1">
        <w:r w:rsidRPr="008B0684">
          <w:rPr>
            <w:rFonts w:ascii="Arial" w:eastAsia="Times New Roman" w:hAnsi="Arial" w:cs="Arial"/>
            <w:color w:val="FC6B01"/>
            <w:kern w:val="0"/>
            <w:sz w:val="27"/>
            <w:szCs w:val="27"/>
            <w:u w:val="single"/>
            <w:lang w:eastAsia="es-UY"/>
            <w14:ligatures w14:val="none"/>
          </w:rPr>
          <w:t>el Día Internacional de la Mujer</w:t>
        </w:r>
      </w:hyperlink>
      <w:r w:rsidRPr="008B0684">
        <w:rPr>
          <w:rFonts w:ascii="Arial" w:eastAsia="Times New Roman" w:hAnsi="Arial" w:cs="Arial"/>
          <w:color w:val="666666"/>
          <w:kern w:val="0"/>
          <w:sz w:val="27"/>
          <w:szCs w:val="27"/>
          <w:lang w:eastAsia="es-UY"/>
          <w14:ligatures w14:val="none"/>
        </w:rPr>
        <w:t> , subraya la entrevistada, “sigue siendo un llamado a la organización, a la vigilancia y a la acción colectiva”.</w:t>
      </w:r>
    </w:p>
    <w:p w14:paraId="1E248F06"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663D748"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A continuación, la investigadora analiza las dinámicas de la violencia, reflexiona sobre la estructura histórica del patriarcado, los procesos de </w:t>
      </w:r>
      <w:r w:rsidRPr="008B0684">
        <w:rPr>
          <w:rFonts w:ascii="Arial" w:eastAsia="Times New Roman" w:hAnsi="Arial" w:cs="Arial"/>
          <w:b/>
          <w:bCs/>
          <w:color w:val="666666"/>
          <w:kern w:val="0"/>
          <w:sz w:val="27"/>
          <w:szCs w:val="27"/>
          <w:lang w:eastAsia="es-UY"/>
          <w14:ligatures w14:val="none"/>
        </w:rPr>
        <w:t>culpabilización de las víctimas</w:t>
      </w:r>
      <w:r w:rsidRPr="008B0684">
        <w:rPr>
          <w:rFonts w:ascii="Arial" w:eastAsia="Times New Roman" w:hAnsi="Arial" w:cs="Arial"/>
          <w:color w:val="666666"/>
          <w:kern w:val="0"/>
          <w:sz w:val="27"/>
          <w:szCs w:val="27"/>
          <w:lang w:eastAsia="es-UY"/>
          <w14:ligatures w14:val="none"/>
        </w:rPr>
        <w:t> , la fragilidad de las políticas públicas y los desafíos para enfrentar colectivamente la violencia de género.</w:t>
      </w:r>
    </w:p>
    <w:p w14:paraId="1F46D5B3"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w:t>
      </w:r>
      <w:r w:rsidRPr="008B0684">
        <w:rPr>
          <w:rFonts w:ascii="Arial" w:eastAsia="Times New Roman" w:hAnsi="Arial" w:cs="Arial"/>
          <w:color w:val="666666"/>
          <w:kern w:val="0"/>
          <w:sz w:val="27"/>
          <w:szCs w:val="27"/>
          <w:lang w:eastAsia="es-UY"/>
          <w14:ligatures w14:val="none"/>
        </w:rPr>
        <w:t> es licenciada en Trabajo Social y Matemáticas por la Universidad Católica de Pelotas (</w:t>
      </w:r>
      <w:proofErr w:type="spellStart"/>
      <w:r w:rsidRPr="008B0684">
        <w:rPr>
          <w:rFonts w:ascii="Arial" w:eastAsia="Times New Roman" w:hAnsi="Arial" w:cs="Arial"/>
          <w:color w:val="666666"/>
          <w:kern w:val="0"/>
          <w:sz w:val="27"/>
          <w:szCs w:val="27"/>
          <w:lang w:eastAsia="es-UY"/>
          <w14:ligatures w14:val="none"/>
        </w:rPr>
        <w:t>UCPel</w:t>
      </w:r>
      <w:proofErr w:type="spellEnd"/>
      <w:r w:rsidRPr="008B0684">
        <w:rPr>
          <w:rFonts w:ascii="Arial" w:eastAsia="Times New Roman" w:hAnsi="Arial" w:cs="Arial"/>
          <w:color w:val="666666"/>
          <w:kern w:val="0"/>
          <w:sz w:val="27"/>
          <w:szCs w:val="27"/>
          <w:lang w:eastAsia="es-UY"/>
          <w14:ligatures w14:val="none"/>
        </w:rPr>
        <w:t xml:space="preserve">), tiene maestría y doctorado en Políticas Sociales y Derechos Humanos en la </w:t>
      </w:r>
      <w:proofErr w:type="spellStart"/>
      <w:r w:rsidRPr="008B0684">
        <w:rPr>
          <w:rFonts w:ascii="Arial" w:eastAsia="Times New Roman" w:hAnsi="Arial" w:cs="Arial"/>
          <w:color w:val="666666"/>
          <w:kern w:val="0"/>
          <w:sz w:val="27"/>
          <w:szCs w:val="27"/>
          <w:lang w:eastAsia="es-UY"/>
          <w14:ligatures w14:val="none"/>
        </w:rPr>
        <w:t>UCPel</w:t>
      </w:r>
      <w:proofErr w:type="spellEnd"/>
      <w:r w:rsidRPr="008B0684">
        <w:rPr>
          <w:rFonts w:ascii="Arial" w:eastAsia="Times New Roman" w:hAnsi="Arial" w:cs="Arial"/>
          <w:color w:val="666666"/>
          <w:kern w:val="0"/>
          <w:sz w:val="27"/>
          <w:szCs w:val="27"/>
          <w:lang w:eastAsia="es-UY"/>
          <w14:ligatures w14:val="none"/>
        </w:rPr>
        <w:t>.</w:t>
      </w:r>
    </w:p>
    <w:p w14:paraId="51BCC508"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B81071F" w14:textId="77777777" w:rsidR="008B0684" w:rsidRPr="008B0684" w:rsidRDefault="008B0684" w:rsidP="008B0684">
      <w:pPr>
        <w:spacing w:after="0" w:line="240" w:lineRule="auto"/>
        <w:jc w:val="both"/>
        <w:outlineLvl w:val="1"/>
        <w:rPr>
          <w:rFonts w:ascii="Arial" w:eastAsia="Times New Roman" w:hAnsi="Arial" w:cs="Arial"/>
          <w:b/>
          <w:bCs/>
          <w:color w:val="000000"/>
          <w:kern w:val="0"/>
          <w:sz w:val="32"/>
          <w:szCs w:val="32"/>
          <w:lang w:eastAsia="es-UY"/>
          <w14:ligatures w14:val="none"/>
        </w:rPr>
      </w:pPr>
      <w:r w:rsidRPr="008B0684">
        <w:rPr>
          <w:rFonts w:ascii="Arial" w:eastAsia="Times New Roman" w:hAnsi="Arial" w:cs="Arial"/>
          <w:b/>
          <w:bCs/>
          <w:color w:val="000000"/>
          <w:kern w:val="0"/>
          <w:sz w:val="32"/>
          <w:szCs w:val="32"/>
          <w:lang w:eastAsia="es-UY"/>
          <w14:ligatures w14:val="none"/>
        </w:rPr>
        <w:t>Vea la entrevista.</w:t>
      </w:r>
    </w:p>
    <w:p w14:paraId="1FFB1AF6"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En los primeros dos meses del año, Rio Grande do Sul registró más de 20 casos de feminicidio. Mujeres fueron asesinadas por sus parejas, novios o exparejas. En algunos casos, los crímenes ocurrieron frente a sus propios hijos. ¿Por qué es tan recurrente el feminicidio en las relaciones afectivas y familiares?</w:t>
      </w:r>
    </w:p>
    <w:p w14:paraId="7F461C04"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Es triste darnos cuenta de que en 2026 todavía tenemos que hablar de </w:t>
      </w:r>
      <w:hyperlink r:id="rId9" w:tgtFrame="_blank" w:history="1">
        <w:r w:rsidRPr="008B0684">
          <w:rPr>
            <w:rFonts w:ascii="Arial" w:eastAsia="Times New Roman" w:hAnsi="Arial" w:cs="Arial"/>
            <w:color w:val="FC6B01"/>
            <w:kern w:val="0"/>
            <w:sz w:val="27"/>
            <w:szCs w:val="27"/>
            <w:u w:val="single"/>
            <w:lang w:eastAsia="es-UY"/>
            <w14:ligatures w14:val="none"/>
          </w:rPr>
          <w:t>feminicidios</w:t>
        </w:r>
      </w:hyperlink>
      <w:r w:rsidRPr="008B0684">
        <w:rPr>
          <w:rFonts w:ascii="Arial" w:eastAsia="Times New Roman" w:hAnsi="Arial" w:cs="Arial"/>
          <w:color w:val="666666"/>
          <w:kern w:val="0"/>
          <w:sz w:val="27"/>
          <w:szCs w:val="27"/>
          <w:lang w:eastAsia="es-UY"/>
          <w14:ligatures w14:val="none"/>
        </w:rPr>
        <w:t> , que todavía tenemos que luchar para seguir vivas.</w:t>
      </w:r>
    </w:p>
    <w:p w14:paraId="430D42C2"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3FADBEB0"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Es importante destacar que </w:t>
      </w:r>
      <w:r w:rsidRPr="008B0684">
        <w:rPr>
          <w:rFonts w:ascii="Arial" w:eastAsia="Times New Roman" w:hAnsi="Arial" w:cs="Arial"/>
          <w:b/>
          <w:bCs/>
          <w:color w:val="666666"/>
          <w:kern w:val="0"/>
          <w:sz w:val="27"/>
          <w:szCs w:val="27"/>
          <w:lang w:eastAsia="es-UY"/>
          <w14:ligatures w14:val="none"/>
        </w:rPr>
        <w:t>el feminicidio</w:t>
      </w:r>
      <w:r w:rsidRPr="008B0684">
        <w:rPr>
          <w:rFonts w:ascii="Arial" w:eastAsia="Times New Roman" w:hAnsi="Arial" w:cs="Arial"/>
          <w:color w:val="666666"/>
          <w:kern w:val="0"/>
          <w:sz w:val="27"/>
          <w:szCs w:val="27"/>
          <w:lang w:eastAsia="es-UY"/>
          <w14:ligatures w14:val="none"/>
        </w:rPr>
        <w:t> no es un hecho aislado, ni puede reducirse a una discusión conyugal o un momento de impulso. Estas explicaciones individualizan el problema y ocultan su dimensión estructural. Es expresión de una estructura histórica de </w:t>
      </w:r>
      <w:r w:rsidRPr="008B0684">
        <w:rPr>
          <w:rFonts w:ascii="Arial" w:eastAsia="Times New Roman" w:hAnsi="Arial" w:cs="Arial"/>
          <w:b/>
          <w:bCs/>
          <w:color w:val="666666"/>
          <w:kern w:val="0"/>
          <w:sz w:val="27"/>
          <w:szCs w:val="27"/>
          <w:lang w:eastAsia="es-UY"/>
          <w14:ligatures w14:val="none"/>
        </w:rPr>
        <w:t>desigualdad y dominación de género</w:t>
      </w:r>
      <w:r w:rsidRPr="008B0684">
        <w:rPr>
          <w:rFonts w:ascii="Arial" w:eastAsia="Times New Roman" w:hAnsi="Arial" w:cs="Arial"/>
          <w:color w:val="666666"/>
          <w:kern w:val="0"/>
          <w:sz w:val="27"/>
          <w:szCs w:val="27"/>
          <w:lang w:eastAsia="es-UY"/>
          <w14:ligatures w14:val="none"/>
        </w:rPr>
        <w:t> . Muchos hombres aún se sienten con derecho a ejercer control sobre nuestros cuerpos y nuestras vidas, especialmente en las relaciones afectivas. Como señala la antropóloga </w:t>
      </w:r>
      <w:hyperlink r:id="rId10" w:tgtFrame="_blank" w:history="1">
        <w:r w:rsidRPr="008B0684">
          <w:rPr>
            <w:rFonts w:ascii="Arial" w:eastAsia="Times New Roman" w:hAnsi="Arial" w:cs="Arial"/>
            <w:color w:val="FC6B01"/>
            <w:kern w:val="0"/>
            <w:sz w:val="27"/>
            <w:szCs w:val="27"/>
            <w:u w:val="single"/>
            <w:lang w:eastAsia="es-UY"/>
            <w14:ligatures w14:val="none"/>
          </w:rPr>
          <w:t>Rita Segato</w:t>
        </w:r>
      </w:hyperlink>
      <w:r w:rsidRPr="008B0684">
        <w:rPr>
          <w:rFonts w:ascii="Arial" w:eastAsia="Times New Roman" w:hAnsi="Arial" w:cs="Arial"/>
          <w:color w:val="666666"/>
          <w:kern w:val="0"/>
          <w:sz w:val="27"/>
          <w:szCs w:val="27"/>
          <w:lang w:eastAsia="es-UY"/>
          <w14:ligatures w14:val="none"/>
        </w:rPr>
        <w:t> , la violencia contra las mujeres funciona como un mecanismo para reproducir </w:t>
      </w:r>
      <w:r w:rsidRPr="008B0684">
        <w:rPr>
          <w:rFonts w:ascii="Arial" w:eastAsia="Times New Roman" w:hAnsi="Arial" w:cs="Arial"/>
          <w:b/>
          <w:bCs/>
          <w:color w:val="666666"/>
          <w:kern w:val="0"/>
          <w:sz w:val="27"/>
          <w:szCs w:val="27"/>
          <w:lang w:eastAsia="es-UY"/>
          <w14:ligatures w14:val="none"/>
        </w:rPr>
        <w:t>el patriarcado</w:t>
      </w:r>
      <w:r w:rsidRPr="008B0684">
        <w:rPr>
          <w:rFonts w:ascii="Arial" w:eastAsia="Times New Roman" w:hAnsi="Arial" w:cs="Arial"/>
          <w:color w:val="666666"/>
          <w:kern w:val="0"/>
          <w:sz w:val="27"/>
          <w:szCs w:val="27"/>
          <w:lang w:eastAsia="es-UY"/>
          <w14:ligatures w14:val="none"/>
        </w:rPr>
        <w:t> .</w:t>
      </w:r>
    </w:p>
    <w:p w14:paraId="5EF1A96F"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07793BE2"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El feminicidio no es un hecho aislado, ni se reduce a una discusión conyugal o a un momento de “impulso” – Cristiani Gentil Ricordi</w:t>
      </w:r>
    </w:p>
    <w:p w14:paraId="50FB0DB0" w14:textId="77FDEAE7"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4A4908CE" w14:textId="77777777" w:rsidR="008B0684" w:rsidRPr="008B0684" w:rsidRDefault="008B0684" w:rsidP="008B0684">
      <w:pPr>
        <w:spacing w:after="0" w:line="240" w:lineRule="auto"/>
        <w:jc w:val="both"/>
        <w:outlineLvl w:val="1"/>
        <w:rPr>
          <w:rFonts w:ascii="Arial" w:eastAsia="Times New Roman" w:hAnsi="Arial" w:cs="Arial"/>
          <w:b/>
          <w:bCs/>
          <w:color w:val="000000"/>
          <w:kern w:val="0"/>
          <w:sz w:val="28"/>
          <w:szCs w:val="28"/>
          <w:lang w:eastAsia="es-UY"/>
          <w14:ligatures w14:val="none"/>
        </w:rPr>
      </w:pPr>
      <w:r w:rsidRPr="008B0684">
        <w:rPr>
          <w:rFonts w:ascii="Arial" w:eastAsia="Times New Roman" w:hAnsi="Arial" w:cs="Arial"/>
          <w:b/>
          <w:bCs/>
          <w:color w:val="000000"/>
          <w:kern w:val="0"/>
          <w:sz w:val="28"/>
          <w:szCs w:val="28"/>
          <w:lang w:eastAsia="es-UY"/>
          <w14:ligatures w14:val="none"/>
        </w:rPr>
        <w:t>Patriarcado</w:t>
      </w:r>
    </w:p>
    <w:p w14:paraId="6EE3A7F1"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El patriarcado es una estructura jerárquica histórica que define quién manda y quién obedece. Organiza las relaciones sociales basándose en </w:t>
      </w:r>
      <w:r w:rsidRPr="008B0684">
        <w:rPr>
          <w:rFonts w:ascii="Arial" w:eastAsia="Times New Roman" w:hAnsi="Arial" w:cs="Arial"/>
          <w:b/>
          <w:bCs/>
          <w:color w:val="666666"/>
          <w:kern w:val="0"/>
          <w:sz w:val="27"/>
          <w:szCs w:val="27"/>
          <w:lang w:eastAsia="es-UY"/>
          <w14:ligatures w14:val="none"/>
        </w:rPr>
        <w:t>las desigualdades de género</w:t>
      </w:r>
      <w:r w:rsidRPr="008B0684">
        <w:rPr>
          <w:rFonts w:ascii="Arial" w:eastAsia="Times New Roman" w:hAnsi="Arial" w:cs="Arial"/>
          <w:color w:val="666666"/>
          <w:kern w:val="0"/>
          <w:sz w:val="27"/>
          <w:szCs w:val="27"/>
          <w:lang w:eastAsia="es-UY"/>
          <w14:ligatures w14:val="none"/>
        </w:rPr>
        <w:t xml:space="preserve"> , y esto se transmite de generación </w:t>
      </w:r>
      <w:r w:rsidRPr="008B0684">
        <w:rPr>
          <w:rFonts w:ascii="Arial" w:eastAsia="Times New Roman" w:hAnsi="Arial" w:cs="Arial"/>
          <w:color w:val="666666"/>
          <w:kern w:val="0"/>
          <w:sz w:val="27"/>
          <w:szCs w:val="27"/>
          <w:lang w:eastAsia="es-UY"/>
          <w14:ligatures w14:val="none"/>
        </w:rPr>
        <w:lastRenderedPageBreak/>
        <w:t>en generación, a menudo como una forma de reconocimiento entre los propios hombres, como una demostración de poder y una afirmación </w:t>
      </w:r>
      <w:hyperlink r:id="rId11" w:tgtFrame="_blank" w:history="1">
        <w:r w:rsidRPr="008B0684">
          <w:rPr>
            <w:rFonts w:ascii="Arial" w:eastAsia="Times New Roman" w:hAnsi="Arial" w:cs="Arial"/>
            <w:color w:val="FC6B01"/>
            <w:kern w:val="0"/>
            <w:sz w:val="27"/>
            <w:szCs w:val="27"/>
            <w:u w:val="single"/>
            <w:lang w:eastAsia="es-UY"/>
            <w14:ligatures w14:val="none"/>
          </w:rPr>
          <w:t>de </w:t>
        </w:r>
      </w:hyperlink>
      <w:r w:rsidRPr="008B0684">
        <w:rPr>
          <w:rFonts w:ascii="Arial" w:eastAsia="Times New Roman" w:hAnsi="Arial" w:cs="Arial"/>
          <w:b/>
          <w:bCs/>
          <w:color w:val="666666"/>
          <w:kern w:val="0"/>
          <w:sz w:val="27"/>
          <w:szCs w:val="27"/>
          <w:lang w:eastAsia="es-UY"/>
          <w14:ligatures w14:val="none"/>
        </w:rPr>
        <w:t>la masculinidad</w:t>
      </w:r>
      <w:r w:rsidRPr="008B0684">
        <w:rPr>
          <w:rFonts w:ascii="Arial" w:eastAsia="Times New Roman" w:hAnsi="Arial" w:cs="Arial"/>
          <w:color w:val="666666"/>
          <w:kern w:val="0"/>
          <w:sz w:val="27"/>
          <w:szCs w:val="27"/>
          <w:lang w:eastAsia="es-UY"/>
          <w14:ligatures w14:val="none"/>
        </w:rPr>
        <w:t> .</w:t>
      </w:r>
    </w:p>
    <w:p w14:paraId="2F8595BC"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2EAEB1FA"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Los feminicidios son </w:t>
      </w:r>
      <w:hyperlink r:id="rId12" w:tgtFrame="_blank" w:history="1">
        <w:r w:rsidRPr="008B0684">
          <w:rPr>
            <w:rFonts w:ascii="Arial" w:eastAsia="Times New Roman" w:hAnsi="Arial" w:cs="Arial"/>
            <w:color w:val="FC6B01"/>
            <w:kern w:val="0"/>
            <w:sz w:val="27"/>
            <w:szCs w:val="27"/>
            <w:u w:val="single"/>
            <w:lang w:eastAsia="es-UY"/>
            <w14:ligatures w14:val="none"/>
          </w:rPr>
          <w:t>recurrentes</w:t>
        </w:r>
      </w:hyperlink>
      <w:r w:rsidRPr="008B0684">
        <w:rPr>
          <w:rFonts w:ascii="Arial" w:eastAsia="Times New Roman" w:hAnsi="Arial" w:cs="Arial"/>
          <w:color w:val="666666"/>
          <w:kern w:val="0"/>
          <w:sz w:val="27"/>
          <w:szCs w:val="27"/>
          <w:lang w:eastAsia="es-UY"/>
          <w14:ligatures w14:val="none"/>
        </w:rPr>
        <w:t> en las relaciones porque es precisamente en estos espacios donde la lógica de posesión y control se manifiesta con mayor fuerza. Cuando una </w:t>
      </w:r>
      <w:r w:rsidRPr="008B0684">
        <w:rPr>
          <w:rFonts w:ascii="Arial" w:eastAsia="Times New Roman" w:hAnsi="Arial" w:cs="Arial"/>
          <w:b/>
          <w:bCs/>
          <w:color w:val="666666"/>
          <w:kern w:val="0"/>
          <w:sz w:val="27"/>
          <w:szCs w:val="27"/>
          <w:lang w:eastAsia="es-UY"/>
          <w14:ligatures w14:val="none"/>
        </w:rPr>
        <w:t>mujer</w:t>
      </w:r>
      <w:r w:rsidRPr="008B0684">
        <w:rPr>
          <w:rFonts w:ascii="Arial" w:eastAsia="Times New Roman" w:hAnsi="Arial" w:cs="Arial"/>
          <w:color w:val="666666"/>
          <w:kern w:val="0"/>
          <w:sz w:val="27"/>
          <w:szCs w:val="27"/>
          <w:lang w:eastAsia="es-UY"/>
          <w14:ligatures w14:val="none"/>
        </w:rPr>
        <w:t> decide romper, cuando afirma su autonomía, algunos hombres pueden vivirlo como una pérdida de poder y, en contextos de masculinidades violentas, esta pérdida se enfrenta con extrema agresión.</w:t>
      </w:r>
    </w:p>
    <w:p w14:paraId="7EEE8D2C"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Es importante recordar que </w:t>
      </w:r>
      <w:r w:rsidRPr="008B0684">
        <w:rPr>
          <w:rFonts w:ascii="Arial" w:eastAsia="Times New Roman" w:hAnsi="Arial" w:cs="Arial"/>
          <w:b/>
          <w:bCs/>
          <w:color w:val="666666"/>
          <w:kern w:val="0"/>
          <w:sz w:val="27"/>
          <w:szCs w:val="27"/>
          <w:lang w:eastAsia="es-UY"/>
          <w14:ligatures w14:val="none"/>
        </w:rPr>
        <w:t>el feminicidio</w:t>
      </w:r>
      <w:r w:rsidRPr="008B0684">
        <w:rPr>
          <w:rFonts w:ascii="Arial" w:eastAsia="Times New Roman" w:hAnsi="Arial" w:cs="Arial"/>
          <w:color w:val="666666"/>
          <w:kern w:val="0"/>
          <w:sz w:val="27"/>
          <w:szCs w:val="27"/>
          <w:lang w:eastAsia="es-UY"/>
          <w14:ligatures w14:val="none"/>
        </w:rPr>
        <w:t> , en la mayoría de los casos, no ocurre de repente. Suele ser la culminación de una historia de violencia y violaciones —psicológicas, morales y físicas— que a menudo se han ido acumulando a lo largo de la relación.</w:t>
      </w:r>
    </w:p>
    <w:p w14:paraId="268460A2"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20AACA85"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Todas y cada una de las formas de violencia contra las mujeres y las niñas son, en sí mismas, extremas – Cristiani Gentil Ricordi</w:t>
      </w:r>
    </w:p>
    <w:p w14:paraId="53281BC5" w14:textId="12C61CE4"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44BE2B09" w14:textId="3F7BFDD8"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¿Los crímenes se están volviendo más violentos y crueles?</w:t>
      </w:r>
    </w:p>
    <w:p w14:paraId="4E85C346"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Para mí, cualquier forma de </w:t>
      </w:r>
      <w:hyperlink r:id="rId13" w:tgtFrame="_blank" w:history="1">
        <w:r w:rsidRPr="008B0684">
          <w:rPr>
            <w:rFonts w:ascii="Arial" w:eastAsia="Times New Roman" w:hAnsi="Arial" w:cs="Arial"/>
            <w:color w:val="FC6B01"/>
            <w:kern w:val="0"/>
            <w:sz w:val="27"/>
            <w:szCs w:val="27"/>
            <w:u w:val="single"/>
            <w:lang w:eastAsia="es-UY"/>
            <w14:ligatures w14:val="none"/>
          </w:rPr>
          <w:t>violencia contra las mujeres</w:t>
        </w:r>
      </w:hyperlink>
      <w:r w:rsidRPr="008B0684">
        <w:rPr>
          <w:rFonts w:ascii="Arial" w:eastAsia="Times New Roman" w:hAnsi="Arial" w:cs="Arial"/>
          <w:color w:val="666666"/>
          <w:kern w:val="0"/>
          <w:sz w:val="27"/>
          <w:szCs w:val="27"/>
          <w:lang w:eastAsia="es-UY"/>
          <w14:ligatures w14:val="none"/>
        </w:rPr>
        <w:t xml:space="preserve"> y las niñas es, en sí misma, extrema. Lo que podemos observar es que hoy en día hay </w:t>
      </w:r>
      <w:proofErr w:type="gramStart"/>
      <w:r w:rsidRPr="008B0684">
        <w:rPr>
          <w:rFonts w:ascii="Arial" w:eastAsia="Times New Roman" w:hAnsi="Arial" w:cs="Arial"/>
          <w:color w:val="666666"/>
          <w:kern w:val="0"/>
          <w:sz w:val="27"/>
          <w:szCs w:val="27"/>
          <w:lang w:eastAsia="es-UY"/>
          <w14:ligatures w14:val="none"/>
        </w:rPr>
        <w:t>mayor visibilidad y mayor cobertura</w:t>
      </w:r>
      <w:proofErr w:type="gramEnd"/>
      <w:r w:rsidRPr="008B0684">
        <w:rPr>
          <w:rFonts w:ascii="Arial" w:eastAsia="Times New Roman" w:hAnsi="Arial" w:cs="Arial"/>
          <w:color w:val="666666"/>
          <w:kern w:val="0"/>
          <w:sz w:val="27"/>
          <w:szCs w:val="27"/>
          <w:lang w:eastAsia="es-UY"/>
          <w14:ligatures w14:val="none"/>
        </w:rPr>
        <w:t xml:space="preserve"> mediática, lo que nos impacta más, y con razón. Pero estos crímenes siempre han existido, a menudo de forma más silenciada. Además, aún convivimos con la falta de denuncias, con casos que no llegan a las autoridades competentes ni a los medios de comunicación.</w:t>
      </w:r>
    </w:p>
    <w:p w14:paraId="7CA12772"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Cada feminicidio no es solo una cifra. Es la expresión de una estructura que debe ser enfrentada colectivamente. Y, como mujeres, cada caso nos afecta, nos duele, nos indigna y nos recuerda que esta lucha sigue siendo urgente.</w:t>
      </w:r>
    </w:p>
    <w:p w14:paraId="54B29F5A"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4D734A82"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La agresión puede comenzar de forma silenciosa: control disfrazado de cuidado, celos justificados como prueba de amor, aislamiento de la red de apoyo, control o seguimiento de las redes sociales, control del dinero o de las decisiones cotidianas – Cristiani Gentil Ricordi</w:t>
      </w:r>
    </w:p>
    <w:p w14:paraId="5AFE2E13" w14:textId="63981E2E"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643A685D"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Además de la </w:t>
      </w:r>
      <w:hyperlink r:id="rId14" w:tgtFrame="_blank" w:history="1">
        <w:r w:rsidRPr="008B0684">
          <w:rPr>
            <w:rFonts w:ascii="Arial" w:eastAsia="Times New Roman" w:hAnsi="Arial" w:cs="Arial"/>
            <w:b/>
            <w:bCs/>
            <w:color w:val="D86DCB" w:themeColor="accent5" w:themeTint="99"/>
            <w:kern w:val="0"/>
            <w:sz w:val="27"/>
            <w:szCs w:val="27"/>
            <w:u w:val="single"/>
            <w:lang w:eastAsia="es-UY"/>
            <w14:ligatures w14:val="none"/>
          </w:rPr>
          <w:t>cultura sexista y patriarcal</w:t>
        </w:r>
      </w:hyperlink>
      <w:r w:rsidRPr="008B0684">
        <w:rPr>
          <w:rFonts w:ascii="Arial" w:eastAsia="Times New Roman" w:hAnsi="Arial" w:cs="Arial"/>
          <w:b/>
          <w:bCs/>
          <w:color w:val="D86DCB" w:themeColor="accent5" w:themeTint="99"/>
          <w:kern w:val="0"/>
          <w:sz w:val="27"/>
          <w:szCs w:val="27"/>
          <w:lang w:eastAsia="es-UY"/>
          <w14:ligatures w14:val="none"/>
        </w:rPr>
        <w:t> que mencionaste, ¿qué otros factores ayudan a comprender la dinámica de violencia y brutalidad presente en estos casos? ¿Está la violencia relacionada con el deseo de dominar al otro, con la dificultad para controlar las emociones y los comportamientos?</w:t>
      </w:r>
    </w:p>
    <w:p w14:paraId="2FC2B358"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xml:space="preserve"> La dinámica de la violencia puede comprenderse en diferentes niveles. Existe una dimensión estructural, que ya hemos mencionado, relacionada con la cultura patriarcal y la </w:t>
      </w:r>
      <w:r w:rsidRPr="008B0684">
        <w:rPr>
          <w:rFonts w:ascii="Arial" w:eastAsia="Times New Roman" w:hAnsi="Arial" w:cs="Arial"/>
          <w:color w:val="666666"/>
          <w:kern w:val="0"/>
          <w:sz w:val="27"/>
          <w:szCs w:val="27"/>
          <w:lang w:eastAsia="es-UY"/>
          <w14:ligatures w14:val="none"/>
        </w:rPr>
        <w:lastRenderedPageBreak/>
        <w:t>naturalización del poder masculino. Pero también existe una dinámica relacional muy concreta, que tiende a seguir un patrón.</w:t>
      </w:r>
    </w:p>
    <w:p w14:paraId="084F2832"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5B66FE99"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Por lo tanto, </w:t>
      </w:r>
      <w:r w:rsidRPr="008B0684">
        <w:rPr>
          <w:rFonts w:ascii="Arial" w:eastAsia="Times New Roman" w:hAnsi="Arial" w:cs="Arial"/>
          <w:b/>
          <w:bCs/>
          <w:color w:val="666666"/>
          <w:kern w:val="0"/>
          <w:sz w:val="27"/>
          <w:szCs w:val="27"/>
          <w:lang w:eastAsia="es-UY"/>
          <w14:ligatures w14:val="none"/>
        </w:rPr>
        <w:t>el feminicidio</w:t>
      </w:r>
      <w:r w:rsidRPr="008B0684">
        <w:rPr>
          <w:rFonts w:ascii="Arial" w:eastAsia="Times New Roman" w:hAnsi="Arial" w:cs="Arial"/>
          <w:color w:val="666666"/>
          <w:kern w:val="0"/>
          <w:sz w:val="27"/>
          <w:szCs w:val="27"/>
          <w:lang w:eastAsia="es-UY"/>
          <w14:ligatures w14:val="none"/>
        </w:rPr>
        <w:t> es, en la mayoría de los casos, la culminación de un </w:t>
      </w:r>
      <w:r w:rsidRPr="008B0684">
        <w:rPr>
          <w:rFonts w:ascii="Arial" w:eastAsia="Times New Roman" w:hAnsi="Arial" w:cs="Arial"/>
          <w:b/>
          <w:bCs/>
          <w:color w:val="666666"/>
          <w:kern w:val="0"/>
          <w:sz w:val="27"/>
          <w:szCs w:val="27"/>
          <w:lang w:eastAsia="es-UY"/>
          <w14:ligatures w14:val="none"/>
        </w:rPr>
        <w:t>ciclo progresivo de violencia</w:t>
      </w:r>
      <w:r w:rsidRPr="008B0684">
        <w:rPr>
          <w:rFonts w:ascii="Arial" w:eastAsia="Times New Roman" w:hAnsi="Arial" w:cs="Arial"/>
          <w:color w:val="666666"/>
          <w:kern w:val="0"/>
          <w:sz w:val="27"/>
          <w:szCs w:val="27"/>
          <w:lang w:eastAsia="es-UY"/>
          <w14:ligatures w14:val="none"/>
        </w:rPr>
        <w:t> . La agresión rara vez comienza con violencia física extrema. Puede comenzar de forma silenciosa: control disfrazado de cuidado, celos justificados como prueba de amor, aislamiento de la red de apoyo, control o vigilancia de las redes sociales, control del dinero o de las decisiones cotidianas.</w:t>
      </w:r>
    </w:p>
    <w:p w14:paraId="1942264D"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Con el tiempo, estas prácticas pueden derivar en humillación, amenazas, violencia psicológica, empujones, agresiones físicas y violencia sexual. Cuando una </w:t>
      </w:r>
      <w:r w:rsidRPr="008B0684">
        <w:rPr>
          <w:rFonts w:ascii="Arial" w:eastAsia="Times New Roman" w:hAnsi="Arial" w:cs="Arial"/>
          <w:b/>
          <w:bCs/>
          <w:color w:val="666666"/>
          <w:kern w:val="0"/>
          <w:sz w:val="27"/>
          <w:szCs w:val="27"/>
          <w:lang w:eastAsia="es-UY"/>
          <w14:ligatures w14:val="none"/>
        </w:rPr>
        <w:t>mujer</w:t>
      </w:r>
      <w:r w:rsidRPr="008B0684">
        <w:rPr>
          <w:rFonts w:ascii="Arial" w:eastAsia="Times New Roman" w:hAnsi="Arial" w:cs="Arial"/>
          <w:color w:val="666666"/>
          <w:kern w:val="0"/>
          <w:sz w:val="27"/>
          <w:szCs w:val="27"/>
          <w:lang w:eastAsia="es-UY"/>
          <w14:ligatures w14:val="none"/>
        </w:rPr>
        <w:t> intenta romper este ciclo, el riesgo puede aumentar porque, para algunos hombres, liberarse representa la pérdida del control que creían tener.</w:t>
      </w:r>
    </w:p>
    <w:p w14:paraId="3EF9BF8D"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19C40EF9"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Por lo tanto, es crucial comprender que </w:t>
      </w:r>
      <w:r w:rsidRPr="008B0684">
        <w:rPr>
          <w:rFonts w:ascii="Arial" w:eastAsia="Times New Roman" w:hAnsi="Arial" w:cs="Arial"/>
          <w:b/>
          <w:bCs/>
          <w:color w:val="666666"/>
          <w:kern w:val="0"/>
          <w:sz w:val="27"/>
          <w:szCs w:val="27"/>
          <w:lang w:eastAsia="es-UY"/>
          <w14:ligatures w14:val="none"/>
        </w:rPr>
        <w:t>el feminicidio</w:t>
      </w:r>
      <w:r w:rsidRPr="008B0684">
        <w:rPr>
          <w:rFonts w:ascii="Arial" w:eastAsia="Times New Roman" w:hAnsi="Arial" w:cs="Arial"/>
          <w:color w:val="666666"/>
          <w:kern w:val="0"/>
          <w:sz w:val="27"/>
          <w:szCs w:val="27"/>
          <w:lang w:eastAsia="es-UY"/>
          <w14:ligatures w14:val="none"/>
        </w:rPr>
        <w:t> no surge de la nada. Suele ser el punto extremo de una </w:t>
      </w:r>
      <w:r w:rsidRPr="008B0684">
        <w:rPr>
          <w:rFonts w:ascii="Arial" w:eastAsia="Times New Roman" w:hAnsi="Arial" w:cs="Arial"/>
          <w:b/>
          <w:bCs/>
          <w:color w:val="666666"/>
          <w:kern w:val="0"/>
          <w:sz w:val="27"/>
          <w:szCs w:val="27"/>
          <w:lang w:eastAsia="es-UY"/>
          <w14:ligatures w14:val="none"/>
        </w:rPr>
        <w:t>escalada de violencia</w:t>
      </w:r>
      <w:r w:rsidRPr="008B0684">
        <w:rPr>
          <w:rFonts w:ascii="Arial" w:eastAsia="Times New Roman" w:hAnsi="Arial" w:cs="Arial"/>
          <w:color w:val="666666"/>
          <w:kern w:val="0"/>
          <w:sz w:val="27"/>
          <w:szCs w:val="27"/>
          <w:lang w:eastAsia="es-UY"/>
          <w14:ligatures w14:val="none"/>
        </w:rPr>
        <w:t> . Y reconocer las señales iniciales es esencial, tanto para que las mujeres puedan buscar apoyo como para que la sociedad deje de normalizar conductas que, en sí mismas, constituyen formas de violencia.</w:t>
      </w:r>
    </w:p>
    <w:p w14:paraId="5905237D"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117F2660"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No se trata de la dificultad para controlar las emociones. Se trata de una </w:t>
      </w:r>
      <w:hyperlink r:id="rId15" w:tgtFrame="_blank" w:history="1">
        <w:r w:rsidRPr="008B0684">
          <w:rPr>
            <w:rFonts w:ascii="Arial" w:eastAsia="Times New Roman" w:hAnsi="Arial" w:cs="Arial"/>
            <w:color w:val="FC6B01"/>
            <w:kern w:val="0"/>
            <w:sz w:val="27"/>
            <w:szCs w:val="27"/>
            <w:u w:val="single"/>
            <w:lang w:eastAsia="es-UY"/>
            <w14:ligatures w14:val="none"/>
          </w:rPr>
          <w:t>cultura</w:t>
        </w:r>
      </w:hyperlink>
      <w:r w:rsidRPr="008B0684">
        <w:rPr>
          <w:rFonts w:ascii="Arial" w:eastAsia="Times New Roman" w:hAnsi="Arial" w:cs="Arial"/>
          <w:color w:val="666666"/>
          <w:kern w:val="0"/>
          <w:sz w:val="27"/>
          <w:szCs w:val="27"/>
          <w:lang w:eastAsia="es-UY"/>
          <w14:ligatures w14:val="none"/>
        </w:rPr>
        <w:t> que enseña a los hombres a asociar la masculinidad con el dominio, la posesión y el poder sobre las mujeres.</w:t>
      </w:r>
    </w:p>
    <w:p w14:paraId="74D48AAA"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55EFE207"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¿Cuáles son los principales indicadores de violencia contra las mujeres y feminicidios que elabora el Observatorio Nosotras?</w:t>
      </w:r>
    </w:p>
    <w:p w14:paraId="6EBF0660"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El </w:t>
      </w:r>
      <w:r w:rsidRPr="008B0684">
        <w:rPr>
          <w:rFonts w:ascii="Arial" w:eastAsia="Times New Roman" w:hAnsi="Arial" w:cs="Arial"/>
          <w:b/>
          <w:bCs/>
          <w:color w:val="666666"/>
          <w:kern w:val="0"/>
          <w:sz w:val="27"/>
          <w:szCs w:val="27"/>
          <w:lang w:eastAsia="es-UY"/>
          <w14:ligatures w14:val="none"/>
        </w:rPr>
        <w:t xml:space="preserve">Observatorio </w:t>
      </w:r>
      <w:proofErr w:type="gramStart"/>
      <w:r w:rsidRPr="008B0684">
        <w:rPr>
          <w:rFonts w:ascii="Arial" w:eastAsia="Times New Roman" w:hAnsi="Arial" w:cs="Arial"/>
          <w:b/>
          <w:bCs/>
          <w:color w:val="666666"/>
          <w:kern w:val="0"/>
          <w:sz w:val="27"/>
          <w:szCs w:val="27"/>
          <w:lang w:eastAsia="es-UY"/>
          <w14:ligatures w14:val="none"/>
        </w:rPr>
        <w:t>Nosotras</w:t>
      </w:r>
      <w:r w:rsidRPr="008B0684">
        <w:rPr>
          <w:rFonts w:ascii="Arial" w:eastAsia="Times New Roman" w:hAnsi="Arial" w:cs="Arial"/>
          <w:color w:val="666666"/>
          <w:kern w:val="0"/>
          <w:sz w:val="27"/>
          <w:szCs w:val="27"/>
          <w:lang w:eastAsia="es-UY"/>
          <w14:ligatures w14:val="none"/>
        </w:rPr>
        <w:t> opera</w:t>
      </w:r>
      <w:proofErr w:type="gramEnd"/>
      <w:r w:rsidRPr="008B0684">
        <w:rPr>
          <w:rFonts w:ascii="Arial" w:eastAsia="Times New Roman" w:hAnsi="Arial" w:cs="Arial"/>
          <w:color w:val="666666"/>
          <w:kern w:val="0"/>
          <w:sz w:val="27"/>
          <w:szCs w:val="27"/>
          <w:lang w:eastAsia="es-UY"/>
          <w14:ligatures w14:val="none"/>
        </w:rPr>
        <w:t xml:space="preserve"> en dos ejes principales. El primero es la producción, el monitoreo y la difusión de indicadores sobre </w:t>
      </w:r>
      <w:r w:rsidRPr="008B0684">
        <w:rPr>
          <w:rFonts w:ascii="Arial" w:eastAsia="Times New Roman" w:hAnsi="Arial" w:cs="Arial"/>
          <w:b/>
          <w:bCs/>
          <w:color w:val="666666"/>
          <w:kern w:val="0"/>
          <w:sz w:val="27"/>
          <w:szCs w:val="27"/>
          <w:lang w:eastAsia="es-UY"/>
          <w14:ligatures w14:val="none"/>
        </w:rPr>
        <w:t>violencia contra las mujeres y las niñas</w:t>
      </w:r>
      <w:r w:rsidRPr="008B0684">
        <w:rPr>
          <w:rFonts w:ascii="Arial" w:eastAsia="Times New Roman" w:hAnsi="Arial" w:cs="Arial"/>
          <w:color w:val="666666"/>
          <w:kern w:val="0"/>
          <w:sz w:val="27"/>
          <w:szCs w:val="27"/>
          <w:lang w:eastAsia="es-UY"/>
          <w14:ligatures w14:val="none"/>
        </w:rPr>
        <w:t> en la zona sur de </w:t>
      </w:r>
      <w:r w:rsidRPr="008B0684">
        <w:rPr>
          <w:rFonts w:ascii="Arial" w:eastAsia="Times New Roman" w:hAnsi="Arial" w:cs="Arial"/>
          <w:b/>
          <w:bCs/>
          <w:color w:val="666666"/>
          <w:kern w:val="0"/>
          <w:sz w:val="27"/>
          <w:szCs w:val="27"/>
          <w:lang w:eastAsia="es-UY"/>
          <w14:ligatures w14:val="none"/>
        </w:rPr>
        <w:t>Rio Grande do Sul</w:t>
      </w:r>
      <w:r w:rsidRPr="008B0684">
        <w:rPr>
          <w:rFonts w:ascii="Arial" w:eastAsia="Times New Roman" w:hAnsi="Arial" w:cs="Arial"/>
          <w:color w:val="666666"/>
          <w:kern w:val="0"/>
          <w:sz w:val="27"/>
          <w:szCs w:val="27"/>
          <w:lang w:eastAsia="es-UY"/>
          <w14:ligatures w14:val="none"/>
        </w:rPr>
        <w:t> . Sistematizamos y analizamos datos oficiales publicados por la </w:t>
      </w:r>
      <w:r w:rsidRPr="008B0684">
        <w:rPr>
          <w:rFonts w:ascii="Arial" w:eastAsia="Times New Roman" w:hAnsi="Arial" w:cs="Arial"/>
          <w:b/>
          <w:bCs/>
          <w:color w:val="666666"/>
          <w:kern w:val="0"/>
          <w:sz w:val="27"/>
          <w:szCs w:val="27"/>
          <w:lang w:eastAsia="es-UY"/>
          <w14:ligatures w14:val="none"/>
        </w:rPr>
        <w:t>Secretaría de Estado de Seguridad Pública</w:t>
      </w:r>
      <w:r w:rsidRPr="008B0684">
        <w:rPr>
          <w:rFonts w:ascii="Arial" w:eastAsia="Times New Roman" w:hAnsi="Arial" w:cs="Arial"/>
          <w:color w:val="666666"/>
          <w:kern w:val="0"/>
          <w:sz w:val="27"/>
          <w:szCs w:val="27"/>
          <w:lang w:eastAsia="es-UY"/>
          <w14:ligatures w14:val="none"/>
        </w:rPr>
        <w:t> , monitoreando incidentes delictivos relacionados con la violencia de género.</w:t>
      </w:r>
    </w:p>
    <w:p w14:paraId="49EF5203"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316476EE"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Entre los principales indicadores que monitoreamos están los casos clasificados bajo la </w:t>
      </w:r>
      <w:r w:rsidRPr="008B0684">
        <w:rPr>
          <w:rFonts w:ascii="Arial" w:eastAsia="Times New Roman" w:hAnsi="Arial" w:cs="Arial"/>
          <w:b/>
          <w:bCs/>
          <w:color w:val="666666"/>
          <w:kern w:val="0"/>
          <w:sz w:val="27"/>
          <w:szCs w:val="27"/>
          <w:lang w:eastAsia="es-UY"/>
          <w14:ligatures w14:val="none"/>
        </w:rPr>
        <w:t>Ley 11.340/2006</w:t>
      </w:r>
      <w:r w:rsidRPr="008B0684">
        <w:rPr>
          <w:rFonts w:ascii="Arial" w:eastAsia="Times New Roman" w:hAnsi="Arial" w:cs="Arial"/>
          <w:color w:val="666666"/>
          <w:kern w:val="0"/>
          <w:sz w:val="27"/>
          <w:szCs w:val="27"/>
          <w:lang w:eastAsia="es-UY"/>
          <w14:ligatures w14:val="none"/>
        </w:rPr>
        <w:t> , </w:t>
      </w:r>
      <w:hyperlink r:id="rId16" w:tgtFrame="_blank" w:history="1">
        <w:r w:rsidRPr="008B0684">
          <w:rPr>
            <w:rFonts w:ascii="Arial" w:eastAsia="Times New Roman" w:hAnsi="Arial" w:cs="Arial"/>
            <w:color w:val="FC6B01"/>
            <w:kern w:val="0"/>
            <w:sz w:val="27"/>
            <w:szCs w:val="27"/>
            <w:u w:val="single"/>
            <w:lang w:eastAsia="es-UY"/>
            <w14:ligatures w14:val="none"/>
          </w:rPr>
          <w:t xml:space="preserve">Ley </w:t>
        </w:r>
        <w:proofErr w:type="spellStart"/>
        <w:r w:rsidRPr="008B0684">
          <w:rPr>
            <w:rFonts w:ascii="Arial" w:eastAsia="Times New Roman" w:hAnsi="Arial" w:cs="Arial"/>
            <w:color w:val="FC6B01"/>
            <w:kern w:val="0"/>
            <w:sz w:val="27"/>
            <w:szCs w:val="27"/>
            <w:u w:val="single"/>
            <w:lang w:eastAsia="es-UY"/>
            <w14:ligatures w14:val="none"/>
          </w:rPr>
          <w:t>Maria</w:t>
        </w:r>
        <w:proofErr w:type="spellEnd"/>
        <w:r w:rsidRPr="008B0684">
          <w:rPr>
            <w:rFonts w:ascii="Arial" w:eastAsia="Times New Roman" w:hAnsi="Arial" w:cs="Arial"/>
            <w:color w:val="FC6B01"/>
            <w:kern w:val="0"/>
            <w:sz w:val="27"/>
            <w:szCs w:val="27"/>
            <w:u w:val="single"/>
            <w:lang w:eastAsia="es-UY"/>
            <w14:ligatures w14:val="none"/>
          </w:rPr>
          <w:t xml:space="preserve"> da Penha</w:t>
        </w:r>
      </w:hyperlink>
      <w:r w:rsidRPr="008B0684">
        <w:rPr>
          <w:rFonts w:ascii="Arial" w:eastAsia="Times New Roman" w:hAnsi="Arial" w:cs="Arial"/>
          <w:color w:val="666666"/>
          <w:kern w:val="0"/>
          <w:sz w:val="27"/>
          <w:szCs w:val="27"/>
          <w:lang w:eastAsia="es-UY"/>
          <w14:ligatures w14:val="none"/>
        </w:rPr>
        <w:t> – amenazas, lesiones corporales, violación, intento de femicidio y femicidio consumado.</w:t>
      </w:r>
    </w:p>
    <w:p w14:paraId="52BB9A43"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6334B38"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val="pt-PT" w:eastAsia="es-UY"/>
          <w14:ligatures w14:val="none"/>
        </w:rPr>
        <w:t xml:space="preserve">Nuestro trabajo abarca 22 municipios (1. Amaral Ferrador; 2. Arroio do Padre; 3. Arroio Grande; 4. Canguçu; 5. Capão do Leão; 6. Cerrito; 7. Chuí; 8. Herval; 9. Jaguarão; 10. Morro Redondo; 11. Pedras Altas; 12. Pedro Osório; 13. Pelotas; 14. Pinheiro Machado; 15. Piratini; 16. Rio Grande; 17. Santa Vitória do Palmar; 18. Santana da Boa Vista; 19. São </w:t>
      </w:r>
      <w:r w:rsidRPr="008B0684">
        <w:rPr>
          <w:rFonts w:ascii="Arial" w:eastAsia="Times New Roman" w:hAnsi="Arial" w:cs="Arial"/>
          <w:color w:val="666666"/>
          <w:kern w:val="0"/>
          <w:sz w:val="27"/>
          <w:szCs w:val="27"/>
          <w:lang w:val="pt-PT" w:eastAsia="es-UY"/>
          <w14:ligatures w14:val="none"/>
        </w:rPr>
        <w:lastRenderedPageBreak/>
        <w:t xml:space="preserve">José do Norte; 20. São Lourenço do Sul; 21. </w:t>
      </w:r>
      <w:r w:rsidRPr="008B0684">
        <w:rPr>
          <w:rFonts w:ascii="Arial" w:eastAsia="Times New Roman" w:hAnsi="Arial" w:cs="Arial"/>
          <w:color w:val="666666"/>
          <w:kern w:val="0"/>
          <w:sz w:val="27"/>
          <w:szCs w:val="27"/>
          <w:lang w:eastAsia="es-UY"/>
          <w14:ligatures w14:val="none"/>
        </w:rPr>
        <w:t xml:space="preserve">Tavares; 22. </w:t>
      </w:r>
      <w:proofErr w:type="spellStart"/>
      <w:r w:rsidRPr="008B0684">
        <w:rPr>
          <w:rFonts w:ascii="Arial" w:eastAsia="Times New Roman" w:hAnsi="Arial" w:cs="Arial"/>
          <w:color w:val="666666"/>
          <w:kern w:val="0"/>
          <w:sz w:val="27"/>
          <w:szCs w:val="27"/>
          <w:lang w:eastAsia="es-UY"/>
          <w14:ligatures w14:val="none"/>
        </w:rPr>
        <w:t>Turuçu</w:t>
      </w:r>
      <w:proofErr w:type="spellEnd"/>
      <w:r w:rsidRPr="008B0684">
        <w:rPr>
          <w:rFonts w:ascii="Arial" w:eastAsia="Times New Roman" w:hAnsi="Arial" w:cs="Arial"/>
          <w:color w:val="666666"/>
          <w:kern w:val="0"/>
          <w:sz w:val="27"/>
          <w:szCs w:val="27"/>
          <w:lang w:eastAsia="es-UY"/>
          <w14:ligatures w14:val="none"/>
        </w:rPr>
        <w:t>) en la mitad sur del estado, lo que permite analizar cómo se manifiesta y reproduce </w:t>
      </w:r>
      <w:r w:rsidRPr="008B0684">
        <w:rPr>
          <w:rFonts w:ascii="Arial" w:eastAsia="Times New Roman" w:hAnsi="Arial" w:cs="Arial"/>
          <w:b/>
          <w:bCs/>
          <w:color w:val="666666"/>
          <w:kern w:val="0"/>
          <w:sz w:val="27"/>
          <w:szCs w:val="27"/>
          <w:lang w:eastAsia="es-UY"/>
          <w14:ligatures w14:val="none"/>
        </w:rPr>
        <w:t>la violencia contra las mujeres y las niñas</w:t>
      </w:r>
      <w:r w:rsidRPr="008B0684">
        <w:rPr>
          <w:rFonts w:ascii="Arial" w:eastAsia="Times New Roman" w:hAnsi="Arial" w:cs="Arial"/>
          <w:color w:val="666666"/>
          <w:kern w:val="0"/>
          <w:sz w:val="27"/>
          <w:szCs w:val="27"/>
          <w:lang w:eastAsia="es-UY"/>
          <w14:ligatures w14:val="none"/>
        </w:rPr>
        <w:t> en estos territorios. A menudo permanecen invisibles en los análisis estatales más amplios.</w:t>
      </w:r>
    </w:p>
    <w:p w14:paraId="34CA2DEB"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28D99D7B"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El segundo enfoque consiste en promover cursos, eventos y actividades de capacitación dirigidos a la comunidad académica, los agentes de políticas públicas y la sociedad civil. Entendemos que la producción de datos, por sí sola, no es suficiente; es necesario estar en las comunidades, dialogar con los servicios de la red de protección y actuar en los territorios donde se produce la violencia.</w:t>
      </w:r>
    </w:p>
    <w:p w14:paraId="3F7B2E28"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Para que esto sea posible, el </w:t>
      </w:r>
      <w:r w:rsidRPr="008B0684">
        <w:rPr>
          <w:rFonts w:ascii="Arial" w:eastAsia="Times New Roman" w:hAnsi="Arial" w:cs="Arial"/>
          <w:b/>
          <w:bCs/>
          <w:color w:val="666666"/>
          <w:kern w:val="0"/>
          <w:sz w:val="27"/>
          <w:szCs w:val="27"/>
          <w:lang w:eastAsia="es-UY"/>
          <w14:ligatures w14:val="none"/>
        </w:rPr>
        <w:t xml:space="preserve">Observatorio </w:t>
      </w:r>
      <w:proofErr w:type="gramStart"/>
      <w:r w:rsidRPr="008B0684">
        <w:rPr>
          <w:rFonts w:ascii="Arial" w:eastAsia="Times New Roman" w:hAnsi="Arial" w:cs="Arial"/>
          <w:b/>
          <w:bCs/>
          <w:color w:val="666666"/>
          <w:kern w:val="0"/>
          <w:sz w:val="27"/>
          <w:szCs w:val="27"/>
          <w:lang w:eastAsia="es-UY"/>
          <w14:ligatures w14:val="none"/>
        </w:rPr>
        <w:t>Nosotras</w:t>
      </w:r>
      <w:r w:rsidRPr="008B0684">
        <w:rPr>
          <w:rFonts w:ascii="Arial" w:eastAsia="Times New Roman" w:hAnsi="Arial" w:cs="Arial"/>
          <w:color w:val="666666"/>
          <w:kern w:val="0"/>
          <w:sz w:val="27"/>
          <w:szCs w:val="27"/>
          <w:lang w:eastAsia="es-UY"/>
          <w14:ligatures w14:val="none"/>
        </w:rPr>
        <w:t> teje</w:t>
      </w:r>
      <w:proofErr w:type="gramEnd"/>
      <w:r w:rsidRPr="008B0684">
        <w:rPr>
          <w:rFonts w:ascii="Arial" w:eastAsia="Times New Roman" w:hAnsi="Arial" w:cs="Arial"/>
          <w:color w:val="666666"/>
          <w:kern w:val="0"/>
          <w:sz w:val="27"/>
          <w:szCs w:val="27"/>
          <w:lang w:eastAsia="es-UY"/>
          <w14:ligatures w14:val="none"/>
        </w:rPr>
        <w:t xml:space="preserve"> una red de alianzas con grupos de investigación y extensión de la propia </w:t>
      </w:r>
      <w:r w:rsidRPr="008B0684">
        <w:rPr>
          <w:rFonts w:ascii="Arial" w:eastAsia="Times New Roman" w:hAnsi="Arial" w:cs="Arial"/>
          <w:b/>
          <w:bCs/>
          <w:color w:val="666666"/>
          <w:kern w:val="0"/>
          <w:sz w:val="27"/>
          <w:szCs w:val="27"/>
          <w:lang w:eastAsia="es-UY"/>
          <w14:ligatures w14:val="none"/>
        </w:rPr>
        <w:t>Universidad Católica de Pelotas</w:t>
      </w:r>
      <w:r w:rsidRPr="008B0684">
        <w:rPr>
          <w:rFonts w:ascii="Arial" w:eastAsia="Times New Roman" w:hAnsi="Arial" w:cs="Arial"/>
          <w:color w:val="666666"/>
          <w:kern w:val="0"/>
          <w:sz w:val="27"/>
          <w:szCs w:val="27"/>
          <w:lang w:eastAsia="es-UY"/>
          <w14:ligatures w14:val="none"/>
        </w:rPr>
        <w:t> , así como de otras universidades, movimientos sociales y organismos públicos, fortaleciendo un esfuerzo colectivo y comprometido en el combate a la violencia contra las mujeres y las niñas.</w:t>
      </w:r>
    </w:p>
    <w:p w14:paraId="64D41BA3"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3A69064"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La violencia contra las mujeres en Rio Grande do Sul se manifiesta de diversas maneras, desde amenazas y agresiones físicas hasta crímenes más extremos como la violación y el feminicidio, y estas formas de violencia a menudo están conectadas dentro del mismo ciclo de dominación y control. – Cristiani Gentil Ricordi</w:t>
      </w:r>
    </w:p>
    <w:p w14:paraId="57FE40B1" w14:textId="6C3F1358"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5004A396" w14:textId="38353500"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¿Cuáles son las principales formas de violencia que sufren las mujeres en Rio Grande do Sul?</w:t>
      </w:r>
    </w:p>
    <w:p w14:paraId="5D0490CD"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El </w:t>
      </w:r>
      <w:r w:rsidRPr="008B0684">
        <w:rPr>
          <w:rFonts w:ascii="Arial" w:eastAsia="Times New Roman" w:hAnsi="Arial" w:cs="Arial"/>
          <w:b/>
          <w:bCs/>
          <w:color w:val="666666"/>
          <w:kern w:val="0"/>
          <w:sz w:val="27"/>
          <w:szCs w:val="27"/>
          <w:lang w:eastAsia="es-UY"/>
          <w14:ligatures w14:val="none"/>
        </w:rPr>
        <w:t xml:space="preserve">Observatorio </w:t>
      </w:r>
      <w:proofErr w:type="gramStart"/>
      <w:r w:rsidRPr="008B0684">
        <w:rPr>
          <w:rFonts w:ascii="Arial" w:eastAsia="Times New Roman" w:hAnsi="Arial" w:cs="Arial"/>
          <w:b/>
          <w:bCs/>
          <w:color w:val="666666"/>
          <w:kern w:val="0"/>
          <w:sz w:val="27"/>
          <w:szCs w:val="27"/>
          <w:lang w:eastAsia="es-UY"/>
          <w14:ligatures w14:val="none"/>
        </w:rPr>
        <w:t>Nosotras</w:t>
      </w:r>
      <w:r w:rsidRPr="008B0684">
        <w:rPr>
          <w:rFonts w:ascii="Arial" w:eastAsia="Times New Roman" w:hAnsi="Arial" w:cs="Arial"/>
          <w:color w:val="666666"/>
          <w:kern w:val="0"/>
          <w:sz w:val="27"/>
          <w:szCs w:val="27"/>
          <w:lang w:eastAsia="es-UY"/>
          <w14:ligatures w14:val="none"/>
        </w:rPr>
        <w:t> trabaja</w:t>
      </w:r>
      <w:proofErr w:type="gramEnd"/>
      <w:r w:rsidRPr="008B0684">
        <w:rPr>
          <w:rFonts w:ascii="Arial" w:eastAsia="Times New Roman" w:hAnsi="Arial" w:cs="Arial"/>
          <w:color w:val="666666"/>
          <w:kern w:val="0"/>
          <w:sz w:val="27"/>
          <w:szCs w:val="27"/>
          <w:lang w:eastAsia="es-UY"/>
          <w14:ligatures w14:val="none"/>
        </w:rPr>
        <w:t xml:space="preserve"> con delitos tipificados en la </w:t>
      </w:r>
      <w:r w:rsidRPr="008B0684">
        <w:rPr>
          <w:rFonts w:ascii="Arial" w:eastAsia="Times New Roman" w:hAnsi="Arial" w:cs="Arial"/>
          <w:b/>
          <w:bCs/>
          <w:color w:val="666666"/>
          <w:kern w:val="0"/>
          <w:sz w:val="27"/>
          <w:szCs w:val="27"/>
          <w:lang w:eastAsia="es-UY"/>
          <w14:ligatures w14:val="none"/>
        </w:rPr>
        <w:t xml:space="preserve">Ley </w:t>
      </w:r>
      <w:proofErr w:type="spellStart"/>
      <w:r w:rsidRPr="008B0684">
        <w:rPr>
          <w:rFonts w:ascii="Arial" w:eastAsia="Times New Roman" w:hAnsi="Arial" w:cs="Arial"/>
          <w:b/>
          <w:bCs/>
          <w:color w:val="666666"/>
          <w:kern w:val="0"/>
          <w:sz w:val="27"/>
          <w:szCs w:val="27"/>
          <w:lang w:eastAsia="es-UY"/>
          <w14:ligatures w14:val="none"/>
        </w:rPr>
        <w:t>Maria</w:t>
      </w:r>
      <w:proofErr w:type="spellEnd"/>
      <w:r w:rsidRPr="008B0684">
        <w:rPr>
          <w:rFonts w:ascii="Arial" w:eastAsia="Times New Roman" w:hAnsi="Arial" w:cs="Arial"/>
          <w:b/>
          <w:bCs/>
          <w:color w:val="666666"/>
          <w:kern w:val="0"/>
          <w:sz w:val="27"/>
          <w:szCs w:val="27"/>
          <w:lang w:eastAsia="es-UY"/>
          <w14:ligatures w14:val="none"/>
        </w:rPr>
        <w:t xml:space="preserve"> da Penha</w:t>
      </w:r>
      <w:r w:rsidRPr="008B0684">
        <w:rPr>
          <w:rFonts w:ascii="Arial" w:eastAsia="Times New Roman" w:hAnsi="Arial" w:cs="Arial"/>
          <w:color w:val="666666"/>
          <w:kern w:val="0"/>
          <w:sz w:val="27"/>
          <w:szCs w:val="27"/>
          <w:lang w:eastAsia="es-UY"/>
          <w14:ligatures w14:val="none"/>
        </w:rPr>
        <w:t> , por lo que es importante observar los indicadores de violencia contra la mujer publicados por la Secretaría de Seguridad Pública de Rio Grande do Sul. Las cifras son alarmantes.</w:t>
      </w:r>
    </w:p>
    <w:p w14:paraId="1018FDC5"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1333E41D"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En 2025, Rio </w:t>
      </w:r>
      <w:r w:rsidRPr="008B0684">
        <w:rPr>
          <w:rFonts w:ascii="Arial" w:eastAsia="Times New Roman" w:hAnsi="Arial" w:cs="Arial"/>
          <w:b/>
          <w:bCs/>
          <w:color w:val="666666"/>
          <w:kern w:val="0"/>
          <w:sz w:val="27"/>
          <w:szCs w:val="27"/>
          <w:lang w:eastAsia="es-UY"/>
          <w14:ligatures w14:val="none"/>
        </w:rPr>
        <w:t>Grande do Sul</w:t>
      </w:r>
      <w:r w:rsidRPr="008B0684">
        <w:rPr>
          <w:rFonts w:ascii="Arial" w:eastAsia="Times New Roman" w:hAnsi="Arial" w:cs="Arial"/>
          <w:color w:val="666666"/>
          <w:kern w:val="0"/>
          <w:sz w:val="27"/>
          <w:szCs w:val="27"/>
          <w:lang w:eastAsia="es-UY"/>
          <w14:ligatures w14:val="none"/>
        </w:rPr>
        <w:t> registró 31.558 casos de amenazas, que son los primeros indicios de violencia y control; 18.455 casos de lesiones corporales; 2.354 casos de violación; 264 casos de intento de feminicidio, cuando existe una tentativa de homicidio por razón de género; y 80 feminicidios consumados, cuando la violencia termina en muerte. En los dos primeros meses de 2026, ya observamos un aumento del 53% en los casos de feminicidio consumado en comparación con el mismo período de 2025.</w:t>
      </w:r>
    </w:p>
    <w:p w14:paraId="17BE6C1C"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48C2E5A1"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Estos datos nos muestran que </w:t>
      </w:r>
      <w:hyperlink r:id="rId17" w:tgtFrame="_blank" w:history="1">
        <w:r w:rsidRPr="008B0684">
          <w:rPr>
            <w:rFonts w:ascii="Arial" w:eastAsia="Times New Roman" w:hAnsi="Arial" w:cs="Arial"/>
            <w:color w:val="FC6B01"/>
            <w:kern w:val="0"/>
            <w:sz w:val="27"/>
            <w:szCs w:val="27"/>
            <w:u w:val="single"/>
            <w:lang w:eastAsia="es-UY"/>
            <w14:ligatures w14:val="none"/>
          </w:rPr>
          <w:t>la violencia contra las mujeres en Rio Grande do Sul</w:t>
        </w:r>
      </w:hyperlink>
      <w:r w:rsidRPr="008B0684">
        <w:rPr>
          <w:rFonts w:ascii="Arial" w:eastAsia="Times New Roman" w:hAnsi="Arial" w:cs="Arial"/>
          <w:color w:val="666666"/>
          <w:kern w:val="0"/>
          <w:sz w:val="27"/>
          <w:szCs w:val="27"/>
          <w:lang w:eastAsia="es-UY"/>
          <w14:ligatures w14:val="none"/>
        </w:rPr>
        <w:t xml:space="preserve"> se manifiesta de diversas formas – desde amenazas y </w:t>
      </w:r>
      <w:r w:rsidRPr="008B0684">
        <w:rPr>
          <w:rFonts w:ascii="Arial" w:eastAsia="Times New Roman" w:hAnsi="Arial" w:cs="Arial"/>
          <w:color w:val="666666"/>
          <w:kern w:val="0"/>
          <w:sz w:val="27"/>
          <w:szCs w:val="27"/>
          <w:lang w:eastAsia="es-UY"/>
          <w14:ligatures w14:val="none"/>
        </w:rPr>
        <w:lastRenderedPageBreak/>
        <w:t>agresiones físicas hasta crímenes más extremos como la violación y el feminicidio – y que a menudo estas formas de violencia están conectadas dentro del mismo ciclo de dominación y control.</w:t>
      </w:r>
    </w:p>
    <w:p w14:paraId="42A4F689"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7F03B0F"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Por eso, es fundamental que no sólo nos fijemos en los casos que nos impactan por su brutalidad, sino también en la violencia cotidiana que afecta a las mujeres y a las niñas, que a menudo se normaliza y se invisibiliza.</w:t>
      </w:r>
    </w:p>
    <w:p w14:paraId="1001AA0A"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5616AC07" w14:textId="77777777" w:rsid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La violencia contra las mujeres se produce en gran medida en el contexto de las relaciones íntimas y afectivas, donde la lógica del control y la posesión se manifiesta con mayor intensidad – Cristiani Gentil Ricordi</w:t>
      </w:r>
    </w:p>
    <w:p w14:paraId="0B0C1766"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p>
    <w:p w14:paraId="2A8D7ED3" w14:textId="2D9EB935"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A partir de los casos monitoreados por el Observatorio Nosotras, ¿es posible trazar un perfil de los agresores?</w:t>
      </w:r>
    </w:p>
    <w:p w14:paraId="114725C5"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La caracterización de los agresores es uno de los objetivos del </w:t>
      </w:r>
      <w:r w:rsidRPr="008B0684">
        <w:rPr>
          <w:rFonts w:ascii="Arial" w:eastAsia="Times New Roman" w:hAnsi="Arial" w:cs="Arial"/>
          <w:b/>
          <w:bCs/>
          <w:color w:val="666666"/>
          <w:kern w:val="0"/>
          <w:sz w:val="27"/>
          <w:szCs w:val="27"/>
          <w:lang w:eastAsia="es-UY"/>
          <w14:ligatures w14:val="none"/>
        </w:rPr>
        <w:t>Observatorio Nosotras</w:t>
      </w:r>
      <w:r w:rsidRPr="008B0684">
        <w:rPr>
          <w:rFonts w:ascii="Arial" w:eastAsia="Times New Roman" w:hAnsi="Arial" w:cs="Arial"/>
          <w:color w:val="666666"/>
          <w:kern w:val="0"/>
          <w:sz w:val="27"/>
          <w:szCs w:val="27"/>
          <w:lang w:eastAsia="es-UY"/>
          <w14:ligatures w14:val="none"/>
        </w:rPr>
        <w:t> para 2026. Ya hemos iniciado un relevamiento preliminar y, hasta el momento, los datos indican que la mayoría de los agresores eran parejas actuales o ex parejas de las víctimas.</w:t>
      </w:r>
    </w:p>
    <w:p w14:paraId="604EF581"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180A41F"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Estos datos refuerzan algo que la literatura y las estadísticas nacionales ya indican: </w:t>
      </w:r>
      <w:r w:rsidRPr="008B0684">
        <w:rPr>
          <w:rFonts w:ascii="Arial" w:eastAsia="Times New Roman" w:hAnsi="Arial" w:cs="Arial"/>
          <w:b/>
          <w:bCs/>
          <w:color w:val="666666"/>
          <w:kern w:val="0"/>
          <w:sz w:val="27"/>
          <w:szCs w:val="27"/>
          <w:lang w:eastAsia="es-UY"/>
          <w14:ligatures w14:val="none"/>
        </w:rPr>
        <w:t>la violencia contra las mujeres</w:t>
      </w:r>
      <w:r w:rsidRPr="008B0684">
        <w:rPr>
          <w:rFonts w:ascii="Arial" w:eastAsia="Times New Roman" w:hAnsi="Arial" w:cs="Arial"/>
          <w:color w:val="666666"/>
          <w:kern w:val="0"/>
          <w:sz w:val="27"/>
          <w:szCs w:val="27"/>
          <w:lang w:eastAsia="es-UY"/>
          <w14:ligatures w14:val="none"/>
        </w:rPr>
        <w:t> ocurre, en gran medida, en el contexto de las relaciones íntimas y afectivas, donde la lógica de control y posesión se manifiesta con mayor intensidad.</w:t>
      </w:r>
    </w:p>
    <w:p w14:paraId="73DEB7C7"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F2523E2"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Incluso hoy, muchas mujeres internalizan la idea de que podrían ser responsables de la violencia sufrida. También existe el temor de involucrar a sus familiares, de exponer a sus hijos y de sufrir represalias. – Cristiani Gentil Ricordi</w:t>
      </w:r>
    </w:p>
    <w:p w14:paraId="7EDE8138" w14:textId="423D54D7"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391045BE"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¿Qué obstáculos y desafíos enfrentan las mujeres para romper los ciclos de violencia y denunciar el abuso, especialmente en el contexto de las relaciones románticas y familiares?</w:t>
      </w:r>
    </w:p>
    <w:p w14:paraId="4050625D"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Aún existen muchos obstáculos. Creo que uno de los más graves es </w:t>
      </w:r>
      <w:hyperlink r:id="rId18" w:tgtFrame="_blank" w:history="1">
        <w:r w:rsidRPr="008B0684">
          <w:rPr>
            <w:rFonts w:ascii="Arial" w:eastAsia="Times New Roman" w:hAnsi="Arial" w:cs="Arial"/>
            <w:color w:val="FC6B01"/>
            <w:kern w:val="0"/>
            <w:sz w:val="27"/>
            <w:szCs w:val="27"/>
            <w:u w:val="single"/>
            <w:lang w:eastAsia="es-UY"/>
            <w14:ligatures w14:val="none"/>
          </w:rPr>
          <w:t>la culpabilización de las víctimas</w:t>
        </w:r>
      </w:hyperlink>
      <w:r w:rsidRPr="008B0684">
        <w:rPr>
          <w:rFonts w:ascii="Arial" w:eastAsia="Times New Roman" w:hAnsi="Arial" w:cs="Arial"/>
          <w:color w:val="666666"/>
          <w:kern w:val="0"/>
          <w:sz w:val="27"/>
          <w:szCs w:val="27"/>
          <w:lang w:eastAsia="es-UY"/>
          <w14:ligatures w14:val="none"/>
        </w:rPr>
        <w:t> . Incluso hoy en día, muchas mujeres internalizan la idea de que pueden ser consideradas responsables de la violencia sufrida.</w:t>
      </w:r>
    </w:p>
    <w:p w14:paraId="1DE591BF"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6DA698B"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 xml:space="preserve">También existe el temor de involucrar a la familia, de exponer a </w:t>
      </w:r>
      <w:proofErr w:type="gramStart"/>
      <w:r w:rsidRPr="008B0684">
        <w:rPr>
          <w:rFonts w:ascii="Arial" w:eastAsia="Times New Roman" w:hAnsi="Arial" w:cs="Arial"/>
          <w:color w:val="666666"/>
          <w:kern w:val="0"/>
          <w:sz w:val="27"/>
          <w:szCs w:val="27"/>
          <w:lang w:eastAsia="es-UY"/>
          <w14:ligatures w14:val="none"/>
        </w:rPr>
        <w:t>los niños y niñas</w:t>
      </w:r>
      <w:proofErr w:type="gramEnd"/>
      <w:r w:rsidRPr="008B0684">
        <w:rPr>
          <w:rFonts w:ascii="Arial" w:eastAsia="Times New Roman" w:hAnsi="Arial" w:cs="Arial"/>
          <w:color w:val="666666"/>
          <w:kern w:val="0"/>
          <w:sz w:val="27"/>
          <w:szCs w:val="27"/>
          <w:lang w:eastAsia="es-UY"/>
          <w14:ligatures w14:val="none"/>
        </w:rPr>
        <w:t>, de sufrir represalias. Sabemos que dos tercios de los casos de violencia ocurren en el hogar, lo que complica aún más la separación, ya que el abusador está integrado en la vida cotidiana de la víctima.</w:t>
      </w:r>
    </w:p>
    <w:p w14:paraId="42CD6EBF"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40FD894"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lastRenderedPageBreak/>
        <w:t>Otro factor decisivo es </w:t>
      </w:r>
      <w:r w:rsidRPr="008B0684">
        <w:rPr>
          <w:rFonts w:ascii="Arial" w:eastAsia="Times New Roman" w:hAnsi="Arial" w:cs="Arial"/>
          <w:b/>
          <w:bCs/>
          <w:color w:val="666666"/>
          <w:kern w:val="0"/>
          <w:sz w:val="27"/>
          <w:szCs w:val="27"/>
          <w:lang w:eastAsia="es-UY"/>
          <w14:ligatures w14:val="none"/>
        </w:rPr>
        <w:t>la dependencia económica</w:t>
      </w:r>
      <w:r w:rsidRPr="008B0684">
        <w:rPr>
          <w:rFonts w:ascii="Arial" w:eastAsia="Times New Roman" w:hAnsi="Arial" w:cs="Arial"/>
          <w:color w:val="666666"/>
          <w:kern w:val="0"/>
          <w:sz w:val="27"/>
          <w:szCs w:val="27"/>
          <w:lang w:eastAsia="es-UY"/>
          <w14:ligatures w14:val="none"/>
        </w:rPr>
        <w:t> . Muchas mujeres permanecen en relaciones abusivas por falta de autonomía financiera, acceso a vivienda o políticas públicas que garanticen condiciones reales para un nuevo comienzo. Hablar de romper el ciclo de violencia sin abordar la autonomía material es ignorar una dimensión central del problema.</w:t>
      </w:r>
    </w:p>
    <w:p w14:paraId="50199BB1"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4EF492DC"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También enfrentamos desafíos dentro de la propia red de apoyo. Si bien existen políticas y servicios importantes, </w:t>
      </w:r>
      <w:r w:rsidRPr="008B0684">
        <w:rPr>
          <w:rFonts w:ascii="Arial" w:eastAsia="Times New Roman" w:hAnsi="Arial" w:cs="Arial"/>
          <w:b/>
          <w:bCs/>
          <w:color w:val="666666"/>
          <w:kern w:val="0"/>
          <w:sz w:val="27"/>
          <w:szCs w:val="27"/>
          <w:lang w:eastAsia="es-UY"/>
          <w14:ligatures w14:val="none"/>
        </w:rPr>
        <w:t>las mujeres</w:t>
      </w:r>
      <w:r w:rsidRPr="008B0684">
        <w:rPr>
          <w:rFonts w:ascii="Arial" w:eastAsia="Times New Roman" w:hAnsi="Arial" w:cs="Arial"/>
          <w:color w:val="666666"/>
          <w:kern w:val="0"/>
          <w:sz w:val="27"/>
          <w:szCs w:val="27"/>
          <w:lang w:eastAsia="es-UY"/>
          <w14:ligatures w14:val="none"/>
        </w:rPr>
        <w:t> no siempre encuentran apoyo calificado, información objetiva sobre cómo denunciar el abuso ni apoyo continuo después de la denuncia.</w:t>
      </w:r>
    </w:p>
    <w:p w14:paraId="17B2EDBF"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Es fundamental destacar que esta violencia afecta desproporcionadamente a las mujeres negras. En Brasil, son la mayoría entre las víctimas de violencia doméstica – Cristiani Gentil Ricordi</w:t>
      </w:r>
    </w:p>
    <w:p w14:paraId="46577A79" w14:textId="0176AC72"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250255BE"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Es fundamental destacar que esta violencia afecta desproporcionadamente </w:t>
      </w:r>
      <w:hyperlink r:id="rId19" w:tgtFrame="_blank" w:history="1">
        <w:r w:rsidRPr="008B0684">
          <w:rPr>
            <w:rFonts w:ascii="Arial" w:eastAsia="Times New Roman" w:hAnsi="Arial" w:cs="Arial"/>
            <w:color w:val="FC6B01"/>
            <w:kern w:val="0"/>
            <w:sz w:val="27"/>
            <w:szCs w:val="27"/>
            <w:u w:val="single"/>
            <w:lang w:eastAsia="es-UY"/>
            <w14:ligatures w14:val="none"/>
          </w:rPr>
          <w:t>a las mujeres negras</w:t>
        </w:r>
      </w:hyperlink>
      <w:r w:rsidRPr="008B0684">
        <w:rPr>
          <w:rFonts w:ascii="Arial" w:eastAsia="Times New Roman" w:hAnsi="Arial" w:cs="Arial"/>
          <w:color w:val="666666"/>
          <w:kern w:val="0"/>
          <w:sz w:val="27"/>
          <w:szCs w:val="27"/>
          <w:lang w:eastAsia="es-UY"/>
          <w14:ligatures w14:val="none"/>
        </w:rPr>
        <w:t> . En </w:t>
      </w:r>
      <w:r w:rsidRPr="008B0684">
        <w:rPr>
          <w:rFonts w:ascii="Arial" w:eastAsia="Times New Roman" w:hAnsi="Arial" w:cs="Arial"/>
          <w:b/>
          <w:bCs/>
          <w:color w:val="666666"/>
          <w:kern w:val="0"/>
          <w:sz w:val="27"/>
          <w:szCs w:val="27"/>
          <w:lang w:eastAsia="es-UY"/>
          <w14:ligatures w14:val="none"/>
        </w:rPr>
        <w:t>Brasil</w:t>
      </w:r>
      <w:r w:rsidRPr="008B0684">
        <w:rPr>
          <w:rFonts w:ascii="Arial" w:eastAsia="Times New Roman" w:hAnsi="Arial" w:cs="Arial"/>
          <w:color w:val="666666"/>
          <w:kern w:val="0"/>
          <w:sz w:val="27"/>
          <w:szCs w:val="27"/>
          <w:lang w:eastAsia="es-UY"/>
          <w14:ligatures w14:val="none"/>
        </w:rPr>
        <w:t> , son la mayoría entre las víctimas de </w:t>
      </w:r>
      <w:r w:rsidRPr="008B0684">
        <w:rPr>
          <w:rFonts w:ascii="Arial" w:eastAsia="Times New Roman" w:hAnsi="Arial" w:cs="Arial"/>
          <w:b/>
          <w:bCs/>
          <w:color w:val="666666"/>
          <w:kern w:val="0"/>
          <w:sz w:val="27"/>
          <w:szCs w:val="27"/>
          <w:lang w:eastAsia="es-UY"/>
          <w14:ligatures w14:val="none"/>
        </w:rPr>
        <w:t>violencia doméstica</w:t>
      </w:r>
      <w:r w:rsidRPr="008B0684">
        <w:rPr>
          <w:rFonts w:ascii="Arial" w:eastAsia="Times New Roman" w:hAnsi="Arial" w:cs="Arial"/>
          <w:color w:val="666666"/>
          <w:kern w:val="0"/>
          <w:sz w:val="27"/>
          <w:szCs w:val="27"/>
          <w:lang w:eastAsia="es-UY"/>
          <w14:ligatures w14:val="none"/>
        </w:rPr>
        <w:t> . Esto revela que la violencia de género está profundamente entrelazada con el racismo estructural y las desigualdades sociales.</w:t>
      </w:r>
    </w:p>
    <w:p w14:paraId="7946C013"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5A00F12"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Romper el </w:t>
      </w:r>
      <w:r w:rsidRPr="008B0684">
        <w:rPr>
          <w:rFonts w:ascii="Arial" w:eastAsia="Times New Roman" w:hAnsi="Arial" w:cs="Arial"/>
          <w:b/>
          <w:bCs/>
          <w:color w:val="666666"/>
          <w:kern w:val="0"/>
          <w:sz w:val="27"/>
          <w:szCs w:val="27"/>
          <w:lang w:eastAsia="es-UY"/>
          <w14:ligatures w14:val="none"/>
        </w:rPr>
        <w:t>ciclo de la violencia</w:t>
      </w:r>
      <w:r w:rsidRPr="008B0684">
        <w:rPr>
          <w:rFonts w:ascii="Arial" w:eastAsia="Times New Roman" w:hAnsi="Arial" w:cs="Arial"/>
          <w:color w:val="666666"/>
          <w:kern w:val="0"/>
          <w:sz w:val="27"/>
          <w:szCs w:val="27"/>
          <w:lang w:eastAsia="es-UY"/>
          <w14:ligatures w14:val="none"/>
        </w:rPr>
        <w:t> requiere mucho más que la valentía individual. Exige una red de apoyo, políticas públicas eficaces y abordar las desigualdades de clase, género y raza.</w:t>
      </w:r>
    </w:p>
    <w:p w14:paraId="7C4A4A17"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486F1675"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¿Cuáles son las principales debilidades de las políticas públicas de combate a la violencia contra las mujeres en Rio Grande do Sul?</w:t>
      </w:r>
    </w:p>
    <w:p w14:paraId="68BD5613"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Las debilidades radican, ante todo, en la financiación pública y la prioridad política otorgada al tema. </w:t>
      </w:r>
      <w:r w:rsidRPr="008B0684">
        <w:rPr>
          <w:rFonts w:ascii="Arial" w:eastAsia="Times New Roman" w:hAnsi="Arial" w:cs="Arial"/>
          <w:b/>
          <w:bCs/>
          <w:color w:val="666666"/>
          <w:kern w:val="0"/>
          <w:sz w:val="27"/>
          <w:szCs w:val="27"/>
          <w:lang w:eastAsia="es-UY"/>
          <w14:ligatures w14:val="none"/>
        </w:rPr>
        <w:t>Abordar la violencia contra las mujeres</w:t>
      </w:r>
      <w:r w:rsidRPr="008B0684">
        <w:rPr>
          <w:rFonts w:ascii="Arial" w:eastAsia="Times New Roman" w:hAnsi="Arial" w:cs="Arial"/>
          <w:color w:val="666666"/>
          <w:kern w:val="0"/>
          <w:sz w:val="27"/>
          <w:szCs w:val="27"/>
          <w:lang w:eastAsia="es-UY"/>
          <w14:ligatures w14:val="none"/>
        </w:rPr>
        <w:t> y las niñas requiere una inversión continua, la expansión de la red de protección y un compromiso real del gobierno estatal con la agenda. La discontinuidad de las acciones, que a menudo dependen de administraciones específicas, también representa un desafío, lo que debilita la consolidación de políticas estatales permanentes.</w:t>
      </w:r>
    </w:p>
    <w:p w14:paraId="0462B61E"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429C135C"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Hoy en día, uno de los mayores desafíos en </w:t>
      </w:r>
      <w:r w:rsidRPr="008B0684">
        <w:rPr>
          <w:rFonts w:ascii="Arial" w:eastAsia="Times New Roman" w:hAnsi="Arial" w:cs="Arial"/>
          <w:b/>
          <w:bCs/>
          <w:color w:val="666666"/>
          <w:kern w:val="0"/>
          <w:sz w:val="27"/>
          <w:szCs w:val="27"/>
          <w:lang w:eastAsia="es-UY"/>
          <w14:ligatures w14:val="none"/>
        </w:rPr>
        <w:t>Rio Grande do Sul</w:t>
      </w:r>
      <w:r w:rsidRPr="008B0684">
        <w:rPr>
          <w:rFonts w:ascii="Arial" w:eastAsia="Times New Roman" w:hAnsi="Arial" w:cs="Arial"/>
          <w:color w:val="666666"/>
          <w:kern w:val="0"/>
          <w:sz w:val="27"/>
          <w:szCs w:val="27"/>
          <w:lang w:eastAsia="es-UY"/>
          <w14:ligatures w14:val="none"/>
        </w:rPr>
        <w:t> es la </w:t>
      </w:r>
      <w:r w:rsidRPr="008B0684">
        <w:rPr>
          <w:rFonts w:ascii="Arial" w:eastAsia="Times New Roman" w:hAnsi="Arial" w:cs="Arial"/>
          <w:b/>
          <w:bCs/>
          <w:color w:val="666666"/>
          <w:kern w:val="0"/>
          <w:sz w:val="27"/>
          <w:szCs w:val="27"/>
          <w:lang w:eastAsia="es-UY"/>
          <w14:ligatures w14:val="none"/>
        </w:rPr>
        <w:t>desigualdad territorial</w:t>
      </w:r>
      <w:r w:rsidRPr="008B0684">
        <w:rPr>
          <w:rFonts w:ascii="Arial" w:eastAsia="Times New Roman" w:hAnsi="Arial" w:cs="Arial"/>
          <w:color w:val="666666"/>
          <w:kern w:val="0"/>
          <w:sz w:val="27"/>
          <w:szCs w:val="27"/>
          <w:lang w:eastAsia="es-UY"/>
          <w14:ligatures w14:val="none"/>
        </w:rPr>
        <w:t> en el acceso a servicios especializados. Si analizamos la seguridad pública, por ejemplo, vemos que el estado cuenta con 497 municipios, pero solo 24 cuentan con </w:t>
      </w:r>
      <w:r w:rsidRPr="008B0684">
        <w:rPr>
          <w:rFonts w:ascii="Arial" w:eastAsia="Times New Roman" w:hAnsi="Arial" w:cs="Arial"/>
          <w:b/>
          <w:bCs/>
          <w:color w:val="666666"/>
          <w:kern w:val="0"/>
          <w:sz w:val="27"/>
          <w:szCs w:val="27"/>
          <w:lang w:eastAsia="es-UY"/>
          <w14:ligatures w14:val="none"/>
        </w:rPr>
        <w:t>Comisarías Especializadas para la Mujer</w:t>
      </w:r>
      <w:r w:rsidRPr="008B0684">
        <w:rPr>
          <w:rFonts w:ascii="Arial" w:eastAsia="Times New Roman" w:hAnsi="Arial" w:cs="Arial"/>
          <w:color w:val="666666"/>
          <w:kern w:val="0"/>
          <w:sz w:val="27"/>
          <w:szCs w:val="27"/>
          <w:lang w:eastAsia="es-UY"/>
          <w14:ligatures w14:val="none"/>
        </w:rPr>
        <w:t> , lo que representa menos del 5% del total. Esta distribución desigual pone de manifiesto una cobertura extremadamente limitada.</w:t>
      </w:r>
    </w:p>
    <w:p w14:paraId="1BA7CD66"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89F7EF2"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El estado de Rio Grande do Sul tiene 497 municipios, pero solo 24 tienen comisarías especializadas para la mujer, menos del 5% del total – Cristiani Gentil Ricordi</w:t>
      </w:r>
    </w:p>
    <w:p w14:paraId="798AA621" w14:textId="77777777" w:rsid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3FA01D10" w14:textId="04242421"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Esta falta de infraestructura especializada dificulta el acceso a la denuncia, la atención cualificada y la investigación adecuada de los casos, especialmente para </w:t>
      </w:r>
      <w:hyperlink r:id="rId20" w:tgtFrame="_blank" w:history="1">
        <w:r w:rsidRPr="008B0684">
          <w:rPr>
            <w:rFonts w:ascii="Arial" w:eastAsia="Times New Roman" w:hAnsi="Arial" w:cs="Arial"/>
            <w:color w:val="FC6B01"/>
            <w:kern w:val="0"/>
            <w:sz w:val="27"/>
            <w:szCs w:val="27"/>
            <w:u w:val="single"/>
            <w:lang w:eastAsia="es-UY"/>
            <w14:ligatures w14:val="none"/>
          </w:rPr>
          <w:t>las mujeres</w:t>
        </w:r>
      </w:hyperlink>
      <w:r w:rsidRPr="008B0684">
        <w:rPr>
          <w:rFonts w:ascii="Arial" w:eastAsia="Times New Roman" w:hAnsi="Arial" w:cs="Arial"/>
          <w:color w:val="666666"/>
          <w:kern w:val="0"/>
          <w:sz w:val="27"/>
          <w:szCs w:val="27"/>
          <w:lang w:eastAsia="es-UY"/>
          <w14:ligatures w14:val="none"/>
        </w:rPr>
        <w:t> que viven en ciudades pequeñas o zonas rurales. Además, incluso cuando existen servicios, estos suelen operar de forma fragmentada, sin una coordinación adecuada entre la seguridad pública, los servicios sociales, la salud y el sistema judicial.</w:t>
      </w:r>
    </w:p>
    <w:p w14:paraId="3E7F4E84"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C87D829"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También es fundamental invertir en la formación y el desarrollo de los profesionales que trabajan en la red de apoyo. Sin formación continua, condiciones laborales adecuadas y equipos estructurados, las políticas resultan ineficaces en la práctica.</w:t>
      </w:r>
    </w:p>
    <w:p w14:paraId="0F7B8CA7"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027C8593"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Finalmente, es importante reconocer que </w:t>
      </w:r>
      <w:r w:rsidRPr="008B0684">
        <w:rPr>
          <w:rFonts w:ascii="Arial" w:eastAsia="Times New Roman" w:hAnsi="Arial" w:cs="Arial"/>
          <w:b/>
          <w:bCs/>
          <w:color w:val="666666"/>
          <w:kern w:val="0"/>
          <w:sz w:val="27"/>
          <w:szCs w:val="27"/>
          <w:lang w:eastAsia="es-UY"/>
          <w14:ligatures w14:val="none"/>
        </w:rPr>
        <w:t>la violencia contra las mujeres y las niñas</w:t>
      </w:r>
      <w:r w:rsidRPr="008B0684">
        <w:rPr>
          <w:rFonts w:ascii="Arial" w:eastAsia="Times New Roman" w:hAnsi="Arial" w:cs="Arial"/>
          <w:color w:val="666666"/>
          <w:kern w:val="0"/>
          <w:sz w:val="27"/>
          <w:szCs w:val="27"/>
          <w:lang w:eastAsia="es-UY"/>
          <w14:ligatures w14:val="none"/>
        </w:rPr>
        <w:t> no es un fenómeno aislado, sino que está permeado por desigualdades de clase, raza y territorio. Abordarla no puede ser una acción puntual o simbólica. Es una política pública que requiere presupuesto, estructura, coordinación intersectorial y un compromiso permanente del Estado.</w:t>
      </w:r>
    </w:p>
    <w:p w14:paraId="64F92D04"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E1D026F"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¿En qué consiste la campaña de los Bancos Rojos, representada por Cáritas de la Arquidiócesis de Pelotas?</w:t>
      </w:r>
    </w:p>
    <w:p w14:paraId="39F358B5"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La </w:t>
      </w:r>
      <w:hyperlink r:id="rId21" w:tgtFrame="_blank" w:history="1">
        <w:r w:rsidRPr="008B0684">
          <w:rPr>
            <w:rFonts w:ascii="Arial" w:eastAsia="Times New Roman" w:hAnsi="Arial" w:cs="Arial"/>
            <w:color w:val="FC6B01"/>
            <w:kern w:val="0"/>
            <w:sz w:val="27"/>
            <w:szCs w:val="27"/>
            <w:u w:val="single"/>
            <w:lang w:eastAsia="es-UY"/>
            <w14:ligatures w14:val="none"/>
          </w:rPr>
          <w:t>campaña Bancas Rojas</w:t>
        </w:r>
      </w:hyperlink>
      <w:r w:rsidRPr="008B0684">
        <w:rPr>
          <w:rFonts w:ascii="Arial" w:eastAsia="Times New Roman" w:hAnsi="Arial" w:cs="Arial"/>
          <w:color w:val="666666"/>
          <w:kern w:val="0"/>
          <w:sz w:val="27"/>
          <w:szCs w:val="27"/>
          <w:lang w:eastAsia="es-UY"/>
          <w14:ligatures w14:val="none"/>
        </w:rPr>
        <w:t> es una iniciativa de movilización social y concientización para enfrentar </w:t>
      </w:r>
      <w:r w:rsidRPr="008B0684">
        <w:rPr>
          <w:rFonts w:ascii="Arial" w:eastAsia="Times New Roman" w:hAnsi="Arial" w:cs="Arial"/>
          <w:b/>
          <w:bCs/>
          <w:color w:val="666666"/>
          <w:kern w:val="0"/>
          <w:sz w:val="27"/>
          <w:szCs w:val="27"/>
          <w:lang w:eastAsia="es-UY"/>
          <w14:ligatures w14:val="none"/>
        </w:rPr>
        <w:t>la violencia contra las mujeres</w:t>
      </w:r>
      <w:r w:rsidRPr="008B0684">
        <w:rPr>
          <w:rFonts w:ascii="Arial" w:eastAsia="Times New Roman" w:hAnsi="Arial" w:cs="Arial"/>
          <w:color w:val="666666"/>
          <w:kern w:val="0"/>
          <w:sz w:val="27"/>
          <w:szCs w:val="27"/>
          <w:lang w:eastAsia="es-UY"/>
          <w14:ligatures w14:val="none"/>
        </w:rPr>
        <w:t> , especialmente el feminicidio. Las bancas rojas se instalan en espacios públicos como símbolos de memoria, denuncia y advertencia, transmitiendo mensajes de reflexión e información sobre canales de denuncia, como el 180 y el 190.</w:t>
      </w:r>
    </w:p>
    <w:p w14:paraId="4085386D"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479EF663"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En </w:t>
      </w:r>
      <w:r w:rsidRPr="008B0684">
        <w:rPr>
          <w:rFonts w:ascii="Arial" w:eastAsia="Times New Roman" w:hAnsi="Arial" w:cs="Arial"/>
          <w:b/>
          <w:bCs/>
          <w:color w:val="666666"/>
          <w:kern w:val="0"/>
          <w:sz w:val="27"/>
          <w:szCs w:val="27"/>
          <w:lang w:eastAsia="es-UY"/>
          <w14:ligatures w14:val="none"/>
        </w:rPr>
        <w:t>Brasil</w:t>
      </w:r>
      <w:r w:rsidRPr="008B0684">
        <w:rPr>
          <w:rFonts w:ascii="Arial" w:eastAsia="Times New Roman" w:hAnsi="Arial" w:cs="Arial"/>
          <w:color w:val="666666"/>
          <w:kern w:val="0"/>
          <w:sz w:val="27"/>
          <w:szCs w:val="27"/>
          <w:lang w:eastAsia="es-UY"/>
          <w14:ligatures w14:val="none"/>
        </w:rPr>
        <w:t> , la iniciativa ganó respaldo legal a través de </w:t>
      </w:r>
      <w:r w:rsidRPr="008B0684">
        <w:rPr>
          <w:rFonts w:ascii="Arial" w:eastAsia="Times New Roman" w:hAnsi="Arial" w:cs="Arial"/>
          <w:b/>
          <w:bCs/>
          <w:color w:val="666666"/>
          <w:kern w:val="0"/>
          <w:sz w:val="27"/>
          <w:szCs w:val="27"/>
          <w:lang w:eastAsia="es-UY"/>
          <w14:ligatures w14:val="none"/>
        </w:rPr>
        <w:t xml:space="preserve">la Ley </w:t>
      </w:r>
      <w:proofErr w:type="spellStart"/>
      <w:r w:rsidRPr="008B0684">
        <w:rPr>
          <w:rFonts w:ascii="Arial" w:eastAsia="Times New Roman" w:hAnsi="Arial" w:cs="Arial"/>
          <w:b/>
          <w:bCs/>
          <w:color w:val="666666"/>
          <w:kern w:val="0"/>
          <w:sz w:val="27"/>
          <w:szCs w:val="27"/>
          <w:lang w:eastAsia="es-UY"/>
          <w14:ligatures w14:val="none"/>
        </w:rPr>
        <w:t>nº</w:t>
      </w:r>
      <w:proofErr w:type="spellEnd"/>
      <w:r w:rsidRPr="008B0684">
        <w:rPr>
          <w:rFonts w:ascii="Arial" w:eastAsia="Times New Roman" w:hAnsi="Arial" w:cs="Arial"/>
          <w:b/>
          <w:bCs/>
          <w:color w:val="666666"/>
          <w:kern w:val="0"/>
          <w:sz w:val="27"/>
          <w:szCs w:val="27"/>
          <w:lang w:eastAsia="es-UY"/>
          <w14:ligatures w14:val="none"/>
        </w:rPr>
        <w:t xml:space="preserve"> 14.942/2024</w:t>
      </w:r>
      <w:r w:rsidRPr="008B0684">
        <w:rPr>
          <w:rFonts w:ascii="Arial" w:eastAsia="Times New Roman" w:hAnsi="Arial" w:cs="Arial"/>
          <w:color w:val="666666"/>
          <w:kern w:val="0"/>
          <w:sz w:val="27"/>
          <w:szCs w:val="27"/>
          <w:lang w:eastAsia="es-UY"/>
          <w14:ligatures w14:val="none"/>
        </w:rPr>
        <w:t> , que prevé la instalación de estos bancos en lugares públicos como herramienta de concientización y combate a la violencia de género.</w:t>
      </w:r>
    </w:p>
    <w:p w14:paraId="127D9E10"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385F1D9D"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En </w:t>
      </w:r>
      <w:r w:rsidRPr="008B0684">
        <w:rPr>
          <w:rFonts w:ascii="Arial" w:eastAsia="Times New Roman" w:hAnsi="Arial" w:cs="Arial"/>
          <w:b/>
          <w:bCs/>
          <w:color w:val="666666"/>
          <w:kern w:val="0"/>
          <w:sz w:val="27"/>
          <w:szCs w:val="27"/>
          <w:lang w:eastAsia="es-UY"/>
          <w14:ligatures w14:val="none"/>
        </w:rPr>
        <w:t>Pelotas</w:t>
      </w:r>
      <w:r w:rsidRPr="008B0684">
        <w:rPr>
          <w:rFonts w:ascii="Arial" w:eastAsia="Times New Roman" w:hAnsi="Arial" w:cs="Arial"/>
          <w:color w:val="666666"/>
          <w:kern w:val="0"/>
          <w:sz w:val="27"/>
          <w:szCs w:val="27"/>
          <w:lang w:eastAsia="es-UY"/>
          <w14:ligatures w14:val="none"/>
        </w:rPr>
        <w:t> , diversas instituciones se han unido a la campaña. La </w:t>
      </w:r>
      <w:r w:rsidRPr="008B0684">
        <w:rPr>
          <w:rFonts w:ascii="Arial" w:eastAsia="Times New Roman" w:hAnsi="Arial" w:cs="Arial"/>
          <w:b/>
          <w:bCs/>
          <w:color w:val="666666"/>
          <w:kern w:val="0"/>
          <w:sz w:val="27"/>
          <w:szCs w:val="27"/>
          <w:lang w:eastAsia="es-UY"/>
          <w14:ligatures w14:val="none"/>
        </w:rPr>
        <w:t>Arquidiócesis de Pelotas, Cáritas</w:t>
      </w:r>
      <w:r w:rsidRPr="008B0684">
        <w:rPr>
          <w:rFonts w:ascii="Arial" w:eastAsia="Times New Roman" w:hAnsi="Arial" w:cs="Arial"/>
          <w:color w:val="666666"/>
          <w:kern w:val="0"/>
          <w:sz w:val="27"/>
          <w:szCs w:val="27"/>
          <w:lang w:eastAsia="es-UY"/>
          <w14:ligatures w14:val="none"/>
        </w:rPr>
        <w:t> , socia del </w:t>
      </w:r>
      <w:r w:rsidRPr="008B0684">
        <w:rPr>
          <w:rFonts w:ascii="Arial" w:eastAsia="Times New Roman" w:hAnsi="Arial" w:cs="Arial"/>
          <w:b/>
          <w:bCs/>
          <w:color w:val="666666"/>
          <w:kern w:val="0"/>
          <w:sz w:val="27"/>
          <w:szCs w:val="27"/>
          <w:lang w:eastAsia="es-UY"/>
          <w14:ligatures w14:val="none"/>
        </w:rPr>
        <w:t>Observatorio Nosotras</w:t>
      </w:r>
      <w:r w:rsidRPr="008B0684">
        <w:rPr>
          <w:rFonts w:ascii="Arial" w:eastAsia="Times New Roman" w:hAnsi="Arial" w:cs="Arial"/>
          <w:color w:val="666666"/>
          <w:kern w:val="0"/>
          <w:sz w:val="27"/>
          <w:szCs w:val="27"/>
          <w:lang w:eastAsia="es-UY"/>
          <w14:ligatures w14:val="none"/>
        </w:rPr>
        <w:t xml:space="preserve"> , participa en las acciones como apoyo, sumándose a la lucha en defensa de las mujeres y niñas víctimas de violencia. El Observatorio Nosotras, a su vez, también trabaja en coordinación con estas </w:t>
      </w:r>
      <w:r w:rsidRPr="008B0684">
        <w:rPr>
          <w:rFonts w:ascii="Arial" w:eastAsia="Times New Roman" w:hAnsi="Arial" w:cs="Arial"/>
          <w:color w:val="666666"/>
          <w:kern w:val="0"/>
          <w:sz w:val="27"/>
          <w:szCs w:val="27"/>
          <w:lang w:eastAsia="es-UY"/>
          <w14:ligatures w14:val="none"/>
        </w:rPr>
        <w:lastRenderedPageBreak/>
        <w:t>iniciativas, fortaleciendo la incidencia política y el debate público sobre el tema.</w:t>
      </w:r>
    </w:p>
    <w:p w14:paraId="54798A0F"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33FFEE39"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Si bien actualmente hay mayor visibilidad de los casos de feminicidio en medios de comunicación y redes sociales, esto no significa necesariamente una mayor conciencia social – Cristiani Gentil Ricordi</w:t>
      </w:r>
    </w:p>
    <w:p w14:paraId="7C62C08B" w14:textId="55B241BB"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73818B68"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¿Existe una mayor conciencia social sobre los casos de feminicidio? ¿Cómo se puede abordar este tema con los jóvenes?</w:t>
      </w:r>
    </w:p>
    <w:p w14:paraId="4BCDF8CF"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Si bien actualmente existe una mayor visibilidad de los casos </w:t>
      </w:r>
      <w:r w:rsidRPr="008B0684">
        <w:rPr>
          <w:rFonts w:ascii="Arial" w:eastAsia="Times New Roman" w:hAnsi="Arial" w:cs="Arial"/>
          <w:b/>
          <w:bCs/>
          <w:color w:val="666666"/>
          <w:kern w:val="0"/>
          <w:sz w:val="27"/>
          <w:szCs w:val="27"/>
          <w:lang w:eastAsia="es-UY"/>
          <w14:ligatures w14:val="none"/>
        </w:rPr>
        <w:t>de feminicidio</w:t>
      </w:r>
      <w:r w:rsidRPr="008B0684">
        <w:rPr>
          <w:rFonts w:ascii="Arial" w:eastAsia="Times New Roman" w:hAnsi="Arial" w:cs="Arial"/>
          <w:color w:val="666666"/>
          <w:kern w:val="0"/>
          <w:sz w:val="27"/>
          <w:szCs w:val="27"/>
          <w:lang w:eastAsia="es-UY"/>
          <w14:ligatures w14:val="none"/>
        </w:rPr>
        <w:t> en los </w:t>
      </w:r>
      <w:r w:rsidRPr="008B0684">
        <w:rPr>
          <w:rFonts w:ascii="Arial" w:eastAsia="Times New Roman" w:hAnsi="Arial" w:cs="Arial"/>
          <w:b/>
          <w:bCs/>
          <w:color w:val="666666"/>
          <w:kern w:val="0"/>
          <w:sz w:val="27"/>
          <w:szCs w:val="27"/>
          <w:lang w:eastAsia="es-UY"/>
          <w14:ligatures w14:val="none"/>
        </w:rPr>
        <w:t>medios</w:t>
      </w:r>
      <w:r w:rsidRPr="008B0684">
        <w:rPr>
          <w:rFonts w:ascii="Arial" w:eastAsia="Times New Roman" w:hAnsi="Arial" w:cs="Arial"/>
          <w:color w:val="666666"/>
          <w:kern w:val="0"/>
          <w:sz w:val="27"/>
          <w:szCs w:val="27"/>
          <w:lang w:eastAsia="es-UY"/>
          <w14:ligatures w14:val="none"/>
        </w:rPr>
        <w:t> y las </w:t>
      </w:r>
      <w:r w:rsidRPr="008B0684">
        <w:rPr>
          <w:rFonts w:ascii="Arial" w:eastAsia="Times New Roman" w:hAnsi="Arial" w:cs="Arial"/>
          <w:b/>
          <w:bCs/>
          <w:color w:val="666666"/>
          <w:kern w:val="0"/>
          <w:sz w:val="27"/>
          <w:szCs w:val="27"/>
          <w:lang w:eastAsia="es-UY"/>
          <w14:ligatures w14:val="none"/>
        </w:rPr>
        <w:t>redes sociales</w:t>
      </w:r>
      <w:r w:rsidRPr="008B0684">
        <w:rPr>
          <w:rFonts w:ascii="Arial" w:eastAsia="Times New Roman" w:hAnsi="Arial" w:cs="Arial"/>
          <w:color w:val="666666"/>
          <w:kern w:val="0"/>
          <w:sz w:val="27"/>
          <w:szCs w:val="27"/>
          <w:lang w:eastAsia="es-UY"/>
          <w14:ligatures w14:val="none"/>
        </w:rPr>
        <w:t> , esto no implica necesariamente una mayor conciencia social. A menudo, el debate se limita a los mismos grupos ya sensibilizados con el tema. Además, los propios </w:t>
      </w:r>
      <w:hyperlink r:id="rId22" w:tgtFrame="_blank" w:history="1">
        <w:r w:rsidRPr="008B0684">
          <w:rPr>
            <w:rFonts w:ascii="Arial" w:eastAsia="Times New Roman" w:hAnsi="Arial" w:cs="Arial"/>
            <w:color w:val="FC6B01"/>
            <w:kern w:val="0"/>
            <w:sz w:val="27"/>
            <w:szCs w:val="27"/>
            <w:u w:val="single"/>
            <w:lang w:eastAsia="es-UY"/>
            <w14:ligatures w14:val="none"/>
          </w:rPr>
          <w:t>algoritmos de las plataformas digitales</w:t>
        </w:r>
      </w:hyperlink>
      <w:r w:rsidRPr="008B0684">
        <w:rPr>
          <w:rFonts w:ascii="Arial" w:eastAsia="Times New Roman" w:hAnsi="Arial" w:cs="Arial"/>
          <w:color w:val="666666"/>
          <w:kern w:val="0"/>
          <w:sz w:val="27"/>
          <w:szCs w:val="27"/>
          <w:lang w:eastAsia="es-UY"/>
          <w14:ligatures w14:val="none"/>
        </w:rPr>
        <w:t> tienden a segmentar el contenido, creando burbujas que dificultan que estas discusiones lleguen a audiencias más amplias y diversas.</w:t>
      </w:r>
    </w:p>
    <w:p w14:paraId="6E684E92"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37CF09EC"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En este sentido, </w:t>
      </w:r>
      <w:r w:rsidRPr="008B0684">
        <w:rPr>
          <w:rFonts w:ascii="Arial" w:eastAsia="Times New Roman" w:hAnsi="Arial" w:cs="Arial"/>
          <w:b/>
          <w:bCs/>
          <w:color w:val="666666"/>
          <w:kern w:val="0"/>
          <w:sz w:val="27"/>
          <w:szCs w:val="27"/>
          <w:lang w:eastAsia="es-UY"/>
          <w14:ligatures w14:val="none"/>
        </w:rPr>
        <w:t>la educación</w:t>
      </w:r>
      <w:r w:rsidRPr="008B0684">
        <w:rPr>
          <w:rFonts w:ascii="Arial" w:eastAsia="Times New Roman" w:hAnsi="Arial" w:cs="Arial"/>
          <w:color w:val="666666"/>
          <w:kern w:val="0"/>
          <w:sz w:val="27"/>
          <w:szCs w:val="27"/>
          <w:lang w:eastAsia="es-UY"/>
          <w14:ligatures w14:val="none"/>
        </w:rPr>
        <w:t> juega un papel fundamental. Con niñas, niños y adolescentes, es necesario abordar la violencia de género para que reconozcan sus diferentes formas. Esto no significa transferir la responsabilidad de la violencia que sufren a las niñas; la responsabilidad siempre recae en el agresor. Se trata de garantizar que niñas, niños y jóvenes tengan acceso a educación sexual y de género que les permita identificar situaciones de abuso, comprender que no tienen la culpa, romper el silencio y saber dónde buscar apoyo dentro de la red de protección. Muchas formas de violencia permanecen invisibles precisamente por miedo, vergüenza o desinformación.</w:t>
      </w:r>
    </w:p>
    <w:p w14:paraId="04F9D600"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1CBC6BB8"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Al mismo tiempo, es fundamental educar a los niños para relaciones basadas en el respeto, la igualdad y la no violencia, cuestionando patrones de </w:t>
      </w:r>
      <w:r w:rsidRPr="008B0684">
        <w:rPr>
          <w:rFonts w:ascii="Arial" w:eastAsia="Times New Roman" w:hAnsi="Arial" w:cs="Arial"/>
          <w:b/>
          <w:bCs/>
          <w:color w:val="666666"/>
          <w:kern w:val="0"/>
          <w:sz w:val="27"/>
          <w:szCs w:val="27"/>
          <w:lang w:eastAsia="es-UY"/>
          <w14:ligatures w14:val="none"/>
        </w:rPr>
        <w:t>masculinidad</w:t>
      </w:r>
      <w:r w:rsidRPr="008B0684">
        <w:rPr>
          <w:rFonts w:ascii="Arial" w:eastAsia="Times New Roman" w:hAnsi="Arial" w:cs="Arial"/>
          <w:color w:val="666666"/>
          <w:kern w:val="0"/>
          <w:sz w:val="27"/>
          <w:szCs w:val="27"/>
          <w:lang w:eastAsia="es-UY"/>
          <w14:ligatures w14:val="none"/>
        </w:rPr>
        <w:t> que normalizan el control y la agresión.</w:t>
      </w:r>
    </w:p>
    <w:p w14:paraId="555E5389"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037D222D"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Finalmente, es necesario avanzar en el trabajo con los perpetradores de violencia. La expansión de los grupos de reflexión con perpetradores de violencia debe entenderse como una política pública estructurante, y no como una acción puntual. Abordar </w:t>
      </w:r>
      <w:r w:rsidRPr="008B0684">
        <w:rPr>
          <w:rFonts w:ascii="Arial" w:eastAsia="Times New Roman" w:hAnsi="Arial" w:cs="Arial"/>
          <w:b/>
          <w:bCs/>
          <w:color w:val="666666"/>
          <w:kern w:val="0"/>
          <w:sz w:val="27"/>
          <w:szCs w:val="27"/>
          <w:lang w:eastAsia="es-UY"/>
          <w14:ligatures w14:val="none"/>
        </w:rPr>
        <w:t>el feminicidio</w:t>
      </w:r>
      <w:r w:rsidRPr="008B0684">
        <w:rPr>
          <w:rFonts w:ascii="Arial" w:eastAsia="Times New Roman" w:hAnsi="Arial" w:cs="Arial"/>
          <w:color w:val="666666"/>
          <w:kern w:val="0"/>
          <w:sz w:val="27"/>
          <w:szCs w:val="27"/>
          <w:lang w:eastAsia="es-UY"/>
          <w14:ligatures w14:val="none"/>
        </w:rPr>
        <w:t> requiere no solo proteger a las mujeres, sino también intervenir en las dinámicas sociales y culturales que sustentan </w:t>
      </w:r>
      <w:r w:rsidRPr="008B0684">
        <w:rPr>
          <w:rFonts w:ascii="Arial" w:eastAsia="Times New Roman" w:hAnsi="Arial" w:cs="Arial"/>
          <w:b/>
          <w:bCs/>
          <w:color w:val="666666"/>
          <w:kern w:val="0"/>
          <w:sz w:val="27"/>
          <w:szCs w:val="27"/>
          <w:lang w:eastAsia="es-UY"/>
          <w14:ligatures w14:val="none"/>
        </w:rPr>
        <w:t>la violencia de género</w:t>
      </w:r>
      <w:r w:rsidRPr="008B0684">
        <w:rPr>
          <w:rFonts w:ascii="Arial" w:eastAsia="Times New Roman" w:hAnsi="Arial" w:cs="Arial"/>
          <w:color w:val="666666"/>
          <w:kern w:val="0"/>
          <w:sz w:val="27"/>
          <w:szCs w:val="27"/>
          <w:lang w:eastAsia="es-UY"/>
          <w14:ligatures w14:val="none"/>
        </w:rPr>
        <w:t> .</w:t>
      </w:r>
    </w:p>
    <w:p w14:paraId="045C3F30"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7294D1E4"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Hemos acumulado logros a través de la lucha histórica de las mujeres, pero el escenario actual nos muestra que no hay espacio para retrocesos ni complacencias – Cristiani Gentil Ricordi</w:t>
      </w:r>
    </w:p>
    <w:p w14:paraId="524504D9" w14:textId="61F0D865" w:rsidR="008B0684" w:rsidRPr="008B0684" w:rsidRDefault="008B0684" w:rsidP="008B0684">
      <w:pPr>
        <w:spacing w:after="0" w:line="240" w:lineRule="auto"/>
        <w:jc w:val="center"/>
        <w:rPr>
          <w:rFonts w:ascii="Times New Roman" w:eastAsia="Times New Roman" w:hAnsi="Times New Roman" w:cs="Times New Roman"/>
          <w:b/>
          <w:bCs/>
          <w:i/>
          <w:iCs/>
          <w:color w:val="D86DCB" w:themeColor="accent5" w:themeTint="99"/>
          <w:kern w:val="0"/>
          <w:sz w:val="27"/>
          <w:szCs w:val="27"/>
          <w:lang w:eastAsia="es-UY"/>
          <w14:ligatures w14:val="none"/>
        </w:rPr>
      </w:pPr>
    </w:p>
    <w:p w14:paraId="3CD7DDC3"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¿Qué tenemos que celebrar en el Día Internacional de la Mujer este año y cuáles son los principales desafíos que debemos afrontar?</w:t>
      </w:r>
    </w:p>
    <w:p w14:paraId="40634F04"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Este año comenzó marcado por el dolor de los </w:t>
      </w:r>
      <w:r w:rsidRPr="008B0684">
        <w:rPr>
          <w:rFonts w:ascii="Arial" w:eastAsia="Times New Roman" w:hAnsi="Arial" w:cs="Arial"/>
          <w:b/>
          <w:bCs/>
          <w:color w:val="666666"/>
          <w:kern w:val="0"/>
          <w:sz w:val="27"/>
          <w:szCs w:val="27"/>
          <w:lang w:eastAsia="es-UY"/>
          <w14:ligatures w14:val="none"/>
        </w:rPr>
        <w:t>feminicidios</w:t>
      </w:r>
      <w:r w:rsidRPr="008B0684">
        <w:rPr>
          <w:rFonts w:ascii="Arial" w:eastAsia="Times New Roman" w:hAnsi="Arial" w:cs="Arial"/>
          <w:color w:val="666666"/>
          <w:kern w:val="0"/>
          <w:sz w:val="27"/>
          <w:szCs w:val="27"/>
          <w:lang w:eastAsia="es-UY"/>
          <w14:ligatures w14:val="none"/>
        </w:rPr>
        <w:t> , lo que nos recuerda que aún queda mucho por afrontar. </w:t>
      </w:r>
      <w:hyperlink r:id="rId23" w:tgtFrame="_blank" w:history="1">
        <w:r w:rsidRPr="008B0684">
          <w:rPr>
            <w:rFonts w:ascii="Arial" w:eastAsia="Times New Roman" w:hAnsi="Arial" w:cs="Arial"/>
            <w:color w:val="FC6B01"/>
            <w:kern w:val="0"/>
            <w:sz w:val="27"/>
            <w:szCs w:val="27"/>
            <w:u w:val="single"/>
            <w:lang w:eastAsia="es-UY"/>
            <w14:ligatures w14:val="none"/>
          </w:rPr>
          <w:t>El Día Internacional de la Mujer</w:t>
        </w:r>
      </w:hyperlink>
      <w:r w:rsidRPr="008B0684">
        <w:rPr>
          <w:rFonts w:ascii="Arial" w:eastAsia="Times New Roman" w:hAnsi="Arial" w:cs="Arial"/>
          <w:color w:val="666666"/>
          <w:kern w:val="0"/>
          <w:sz w:val="27"/>
          <w:szCs w:val="27"/>
          <w:lang w:eastAsia="es-UY"/>
          <w14:ligatures w14:val="none"/>
        </w:rPr>
        <w:t> no es una fecha de celebración en sentido festivo, sino de reflexión, denuncia y movilización.</w:t>
      </w:r>
    </w:p>
    <w:p w14:paraId="7D92458B"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3CDB29BD"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Sin embargo, se pueden reconocer avances. La creación del </w:t>
      </w:r>
      <w:r w:rsidRPr="008B0684">
        <w:rPr>
          <w:rFonts w:ascii="Arial" w:eastAsia="Times New Roman" w:hAnsi="Arial" w:cs="Arial"/>
          <w:b/>
          <w:bCs/>
          <w:color w:val="666666"/>
          <w:kern w:val="0"/>
          <w:sz w:val="27"/>
          <w:szCs w:val="27"/>
          <w:lang w:eastAsia="es-UY"/>
          <w14:ligatures w14:val="none"/>
        </w:rPr>
        <w:t>Pacto Nacional "Brasil sin Femicidio"</w:t>
      </w:r>
      <w:r w:rsidRPr="008B0684">
        <w:rPr>
          <w:rFonts w:ascii="Arial" w:eastAsia="Times New Roman" w:hAnsi="Arial" w:cs="Arial"/>
          <w:color w:val="666666"/>
          <w:kern w:val="0"/>
          <w:sz w:val="27"/>
          <w:szCs w:val="27"/>
          <w:lang w:eastAsia="es-UY"/>
          <w14:ligatures w14:val="none"/>
        </w:rPr>
        <w:t> representa un paso importante para restablecer la lucha contra la violencia contra las mujeres como una prioridad en la agenda pública nacional. Es una muestra del compromiso institucional, la coordinación entre entidades federativas y la necesidad de acciones integradas.</w:t>
      </w:r>
    </w:p>
    <w:p w14:paraId="0AD29FDD"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3EDD16F8"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El gran desafío, sin embargo, es transformar este compromiso en prácticas concretas: conseguir financiamiento, estructurar servicios, ampliar la red de protección, formar profesionales y asegurar que las políticas lleguen realmente a los territorios, especialmente a las mujeres más vulnerables por las desigualdades de clase, raza y territorio.</w:t>
      </w:r>
    </w:p>
    <w:p w14:paraId="6AC16A0A"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42C703BB"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Hemos acumulado logros gracias a la lucha histórica de </w:t>
      </w:r>
      <w:r w:rsidRPr="008B0684">
        <w:rPr>
          <w:rFonts w:ascii="Arial" w:eastAsia="Times New Roman" w:hAnsi="Arial" w:cs="Arial"/>
          <w:b/>
          <w:bCs/>
          <w:color w:val="666666"/>
          <w:kern w:val="0"/>
          <w:sz w:val="27"/>
          <w:szCs w:val="27"/>
          <w:lang w:eastAsia="es-UY"/>
          <w14:ligatures w14:val="none"/>
        </w:rPr>
        <w:t>las mujeres</w:t>
      </w:r>
      <w:r w:rsidRPr="008B0684">
        <w:rPr>
          <w:rFonts w:ascii="Arial" w:eastAsia="Times New Roman" w:hAnsi="Arial" w:cs="Arial"/>
          <w:color w:val="666666"/>
          <w:kern w:val="0"/>
          <w:sz w:val="27"/>
          <w:szCs w:val="27"/>
          <w:lang w:eastAsia="es-UY"/>
          <w14:ligatures w14:val="none"/>
        </w:rPr>
        <w:t> , pero el panorama actual nos muestra que no hay margen para retrocesos ni complacencia. El 8 de marzo sigue siendo un llamado a la organización, la vigilancia y la acción colectiva.</w:t>
      </w:r>
    </w:p>
    <w:p w14:paraId="47A8D497"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7E6FC64" w14:textId="77777777" w:rsidR="008B0684" w:rsidRPr="008B0684" w:rsidRDefault="008B0684" w:rsidP="008B0684">
      <w:pPr>
        <w:spacing w:after="0" w:line="240" w:lineRule="auto"/>
        <w:jc w:val="center"/>
        <w:rPr>
          <w:rFonts w:ascii="Arial" w:eastAsia="Times New Roman" w:hAnsi="Arial" w:cs="Arial"/>
          <w:b/>
          <w:bCs/>
          <w:i/>
          <w:iCs/>
          <w:color w:val="D86DCB" w:themeColor="accent5" w:themeTint="99"/>
          <w:kern w:val="0"/>
          <w:sz w:val="27"/>
          <w:szCs w:val="27"/>
          <w:lang w:eastAsia="es-UY"/>
          <w14:ligatures w14:val="none"/>
        </w:rPr>
      </w:pPr>
      <w:r w:rsidRPr="008B0684">
        <w:rPr>
          <w:rFonts w:ascii="Arial" w:eastAsia="Times New Roman" w:hAnsi="Arial" w:cs="Arial"/>
          <w:b/>
          <w:bCs/>
          <w:i/>
          <w:iCs/>
          <w:color w:val="D86DCB" w:themeColor="accent5" w:themeTint="99"/>
          <w:kern w:val="0"/>
          <w:sz w:val="27"/>
          <w:szCs w:val="27"/>
          <w:lang w:eastAsia="es-UY"/>
          <w14:ligatures w14:val="none"/>
        </w:rPr>
        <w:t>Es urgente combatir los discursos de odio y la misoginia que circulan en las redes sociales, en los espacios institucionales y en la vida cotidiana, ya que alimentan y legitiman prácticas violentas – Cristiani Gentil Ricordi</w:t>
      </w:r>
    </w:p>
    <w:p w14:paraId="236D71E7" w14:textId="32F074F4" w:rsidR="008B0684" w:rsidRPr="008B0684" w:rsidRDefault="008B0684" w:rsidP="008B068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38B78223" w14:textId="77777777" w:rsidR="008B0684" w:rsidRPr="008B0684" w:rsidRDefault="008B0684" w:rsidP="008B0684">
      <w:pPr>
        <w:spacing w:after="0" w:line="240" w:lineRule="auto"/>
        <w:jc w:val="both"/>
        <w:rPr>
          <w:rFonts w:ascii="Arial" w:eastAsia="Times New Roman" w:hAnsi="Arial" w:cs="Arial"/>
          <w:color w:val="D86DCB" w:themeColor="accent5" w:themeTint="99"/>
          <w:kern w:val="0"/>
          <w:sz w:val="27"/>
          <w:szCs w:val="27"/>
          <w:lang w:eastAsia="es-UY"/>
          <w14:ligatures w14:val="none"/>
        </w:rPr>
      </w:pPr>
      <w:r w:rsidRPr="008B0684">
        <w:rPr>
          <w:rFonts w:ascii="Arial" w:eastAsia="Times New Roman" w:hAnsi="Arial" w:cs="Arial"/>
          <w:b/>
          <w:bCs/>
          <w:color w:val="D86DCB" w:themeColor="accent5" w:themeTint="99"/>
          <w:kern w:val="0"/>
          <w:sz w:val="27"/>
          <w:szCs w:val="27"/>
          <w:lang w:eastAsia="es-UY"/>
          <w14:ligatures w14:val="none"/>
        </w:rPr>
        <w:t>IHU – ¿Te gustaría añadir algo?</w:t>
      </w:r>
    </w:p>
    <w:p w14:paraId="73083CAC"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b/>
          <w:bCs/>
          <w:color w:val="666666"/>
          <w:kern w:val="0"/>
          <w:sz w:val="27"/>
          <w:szCs w:val="27"/>
          <w:lang w:eastAsia="es-UY"/>
          <w14:ligatures w14:val="none"/>
        </w:rPr>
        <w:t>Cristiani Gentil Ricordi –</w:t>
      </w:r>
      <w:r w:rsidRPr="008B0684">
        <w:rPr>
          <w:rFonts w:ascii="Arial" w:eastAsia="Times New Roman" w:hAnsi="Arial" w:cs="Arial"/>
          <w:color w:val="666666"/>
          <w:kern w:val="0"/>
          <w:sz w:val="27"/>
          <w:szCs w:val="27"/>
          <w:lang w:eastAsia="es-UY"/>
          <w14:ligatures w14:val="none"/>
        </w:rPr>
        <w:t> Agradezco el espacio de diálogo y la oportunidad de abordar un tema tan urgente. El </w:t>
      </w:r>
      <w:r w:rsidRPr="008B0684">
        <w:rPr>
          <w:rFonts w:ascii="Arial" w:eastAsia="Times New Roman" w:hAnsi="Arial" w:cs="Arial"/>
          <w:b/>
          <w:bCs/>
          <w:color w:val="666666"/>
          <w:kern w:val="0"/>
          <w:sz w:val="27"/>
          <w:szCs w:val="27"/>
          <w:lang w:eastAsia="es-UY"/>
          <w14:ligatures w14:val="none"/>
        </w:rPr>
        <w:t xml:space="preserve">Observatorio </w:t>
      </w:r>
      <w:proofErr w:type="gramStart"/>
      <w:r w:rsidRPr="008B0684">
        <w:rPr>
          <w:rFonts w:ascii="Arial" w:eastAsia="Times New Roman" w:hAnsi="Arial" w:cs="Arial"/>
          <w:b/>
          <w:bCs/>
          <w:color w:val="666666"/>
          <w:kern w:val="0"/>
          <w:sz w:val="27"/>
          <w:szCs w:val="27"/>
          <w:lang w:eastAsia="es-UY"/>
          <w14:ligatures w14:val="none"/>
        </w:rPr>
        <w:t>Nosotras</w:t>
      </w:r>
      <w:r w:rsidRPr="008B0684">
        <w:rPr>
          <w:rFonts w:ascii="Arial" w:eastAsia="Times New Roman" w:hAnsi="Arial" w:cs="Arial"/>
          <w:color w:val="666666"/>
          <w:kern w:val="0"/>
          <w:sz w:val="27"/>
          <w:szCs w:val="27"/>
          <w:lang w:eastAsia="es-UY"/>
          <w14:ligatures w14:val="none"/>
        </w:rPr>
        <w:t> sigue</w:t>
      </w:r>
      <w:proofErr w:type="gramEnd"/>
      <w:r w:rsidRPr="008B0684">
        <w:rPr>
          <w:rFonts w:ascii="Arial" w:eastAsia="Times New Roman" w:hAnsi="Arial" w:cs="Arial"/>
          <w:color w:val="666666"/>
          <w:kern w:val="0"/>
          <w:sz w:val="27"/>
          <w:szCs w:val="27"/>
          <w:lang w:eastAsia="es-UY"/>
          <w14:ligatures w14:val="none"/>
        </w:rPr>
        <w:t xml:space="preserve"> disponible para contribuir al debate público y a las acciones que fortalezcan la lucha contra la violencia hacia las mujeres y las niñas.</w:t>
      </w:r>
    </w:p>
    <w:p w14:paraId="633DAAD8"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1E0C8906" w14:textId="77777777" w:rsid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Es crucial reafirmar que la víctima nunca tiene la culpa. </w:t>
      </w:r>
      <w:hyperlink r:id="rId24" w:tgtFrame="_blank" w:history="1">
        <w:r w:rsidRPr="008B0684">
          <w:rPr>
            <w:rFonts w:ascii="Arial" w:eastAsia="Times New Roman" w:hAnsi="Arial" w:cs="Arial"/>
            <w:color w:val="FC6B01"/>
            <w:kern w:val="0"/>
            <w:sz w:val="27"/>
            <w:szCs w:val="27"/>
            <w:u w:val="single"/>
            <w:lang w:eastAsia="es-UY"/>
            <w14:ligatures w14:val="none"/>
          </w:rPr>
          <w:t>La violencia de género</w:t>
        </w:r>
      </w:hyperlink>
      <w:r w:rsidRPr="008B0684">
        <w:rPr>
          <w:rFonts w:ascii="Arial" w:eastAsia="Times New Roman" w:hAnsi="Arial" w:cs="Arial"/>
          <w:color w:val="666666"/>
          <w:kern w:val="0"/>
          <w:sz w:val="27"/>
          <w:szCs w:val="27"/>
          <w:lang w:eastAsia="es-UY"/>
          <w14:ligatures w14:val="none"/>
        </w:rPr>
        <w:t> no es un problema individual ni circunstancial, sino un problema estructural, arraigado en relaciones históricas de dominación y poder sobre el cuerpo y la vida de las mujeres. Mientras no afrontemos estas causas estructurales, seguiremos abordando solo las consecuencias más visibles del problema.</w:t>
      </w:r>
    </w:p>
    <w:p w14:paraId="7B37FE0C"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p>
    <w:p w14:paraId="61F16C71" w14:textId="77777777" w:rsidR="008B0684" w:rsidRPr="008B0684" w:rsidRDefault="008B0684" w:rsidP="008B0684">
      <w:pPr>
        <w:spacing w:after="0" w:line="240" w:lineRule="auto"/>
        <w:jc w:val="both"/>
        <w:rPr>
          <w:rFonts w:ascii="Arial" w:eastAsia="Times New Roman" w:hAnsi="Arial" w:cs="Arial"/>
          <w:color w:val="666666"/>
          <w:kern w:val="0"/>
          <w:sz w:val="27"/>
          <w:szCs w:val="27"/>
          <w:lang w:eastAsia="es-UY"/>
          <w14:ligatures w14:val="none"/>
        </w:rPr>
      </w:pPr>
      <w:r w:rsidRPr="008B0684">
        <w:rPr>
          <w:rFonts w:ascii="Arial" w:eastAsia="Times New Roman" w:hAnsi="Arial" w:cs="Arial"/>
          <w:color w:val="666666"/>
          <w:kern w:val="0"/>
          <w:sz w:val="27"/>
          <w:szCs w:val="27"/>
          <w:lang w:eastAsia="es-UY"/>
          <w14:ligatures w14:val="none"/>
        </w:rPr>
        <w:t>También es urgente combatir </w:t>
      </w:r>
      <w:r w:rsidRPr="008B0684">
        <w:rPr>
          <w:rFonts w:ascii="Arial" w:eastAsia="Times New Roman" w:hAnsi="Arial" w:cs="Arial"/>
          <w:b/>
          <w:bCs/>
          <w:color w:val="666666"/>
          <w:kern w:val="0"/>
          <w:sz w:val="27"/>
          <w:szCs w:val="27"/>
          <w:lang w:eastAsia="es-UY"/>
          <w14:ligatures w14:val="none"/>
        </w:rPr>
        <w:t>el discurso de odio y la misoginia</w:t>
      </w:r>
      <w:r w:rsidRPr="008B0684">
        <w:rPr>
          <w:rFonts w:ascii="Arial" w:eastAsia="Times New Roman" w:hAnsi="Arial" w:cs="Arial"/>
          <w:color w:val="666666"/>
          <w:kern w:val="0"/>
          <w:sz w:val="27"/>
          <w:szCs w:val="27"/>
          <w:lang w:eastAsia="es-UY"/>
          <w14:ligatures w14:val="none"/>
        </w:rPr>
        <w:t> que circulan en redes sociales, espacios institucionales y la vida cotidiana, ya que alimentan y legitiman prácticas violentas. Finalmente, es esencial que los hombres se movilicen y asuman la responsabilidad activa de enfrentar la violencia de género, no como apoyo externo, sino como sujetos involucrados en la transformación de esta realidad. </w:t>
      </w:r>
    </w:p>
    <w:p w14:paraId="501C7437" w14:textId="37E9BC68" w:rsidR="00926044" w:rsidRDefault="008B0684">
      <w:hyperlink r:id="rId25" w:history="1">
        <w:r w:rsidRPr="00195ADF">
          <w:rPr>
            <w:rStyle w:val="Hipervnculo"/>
          </w:rPr>
          <w:t>https://www.ihu.unisinos.br/663121-combate-a-violencia-contra-as-mulheres-essa-luta-ainda-e-urgente-entrevista-especial-com-cristiani-gentil-ricordi</w:t>
        </w:r>
      </w:hyperlink>
    </w:p>
    <w:p w14:paraId="7FCEE450" w14:textId="77777777" w:rsidR="008B0684" w:rsidRDefault="008B0684"/>
    <w:sectPr w:rsidR="008B068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684"/>
    <w:rsid w:val="001C3C3E"/>
    <w:rsid w:val="008B0684"/>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B2EE3"/>
  <w15:chartTrackingRefBased/>
  <w15:docId w15:val="{9EF2681E-4010-4AEF-B890-87FE6C40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B06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B06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B068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B068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B068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B068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B068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B068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B068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068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B068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B068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B068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B068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B068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B068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B068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B0684"/>
    <w:rPr>
      <w:rFonts w:eastAsiaTheme="majorEastAsia" w:cstheme="majorBidi"/>
      <w:color w:val="272727" w:themeColor="text1" w:themeTint="D8"/>
    </w:rPr>
  </w:style>
  <w:style w:type="paragraph" w:styleId="Ttulo">
    <w:name w:val="Title"/>
    <w:basedOn w:val="Normal"/>
    <w:next w:val="Normal"/>
    <w:link w:val="TtuloCar"/>
    <w:uiPriority w:val="10"/>
    <w:qFormat/>
    <w:rsid w:val="008B06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B068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B068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B068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B0684"/>
    <w:pPr>
      <w:spacing w:before="160"/>
      <w:jc w:val="center"/>
    </w:pPr>
    <w:rPr>
      <w:i/>
      <w:iCs/>
      <w:color w:val="404040" w:themeColor="text1" w:themeTint="BF"/>
    </w:rPr>
  </w:style>
  <w:style w:type="character" w:customStyle="1" w:styleId="CitaCar">
    <w:name w:val="Cita Car"/>
    <w:basedOn w:val="Fuentedeprrafopredeter"/>
    <w:link w:val="Cita"/>
    <w:uiPriority w:val="29"/>
    <w:rsid w:val="008B0684"/>
    <w:rPr>
      <w:i/>
      <w:iCs/>
      <w:color w:val="404040" w:themeColor="text1" w:themeTint="BF"/>
    </w:rPr>
  </w:style>
  <w:style w:type="paragraph" w:styleId="Prrafodelista">
    <w:name w:val="List Paragraph"/>
    <w:basedOn w:val="Normal"/>
    <w:uiPriority w:val="34"/>
    <w:qFormat/>
    <w:rsid w:val="008B0684"/>
    <w:pPr>
      <w:ind w:left="720"/>
      <w:contextualSpacing/>
    </w:pPr>
  </w:style>
  <w:style w:type="character" w:styleId="nfasisintenso">
    <w:name w:val="Intense Emphasis"/>
    <w:basedOn w:val="Fuentedeprrafopredeter"/>
    <w:uiPriority w:val="21"/>
    <w:qFormat/>
    <w:rsid w:val="008B0684"/>
    <w:rPr>
      <w:i/>
      <w:iCs/>
      <w:color w:val="0F4761" w:themeColor="accent1" w:themeShade="BF"/>
    </w:rPr>
  </w:style>
  <w:style w:type="paragraph" w:styleId="Citadestacada">
    <w:name w:val="Intense Quote"/>
    <w:basedOn w:val="Normal"/>
    <w:next w:val="Normal"/>
    <w:link w:val="CitadestacadaCar"/>
    <w:uiPriority w:val="30"/>
    <w:qFormat/>
    <w:rsid w:val="008B06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B0684"/>
    <w:rPr>
      <w:i/>
      <w:iCs/>
      <w:color w:val="0F4761" w:themeColor="accent1" w:themeShade="BF"/>
    </w:rPr>
  </w:style>
  <w:style w:type="character" w:styleId="Referenciaintensa">
    <w:name w:val="Intense Reference"/>
    <w:basedOn w:val="Fuentedeprrafopredeter"/>
    <w:uiPriority w:val="32"/>
    <w:qFormat/>
    <w:rsid w:val="008B0684"/>
    <w:rPr>
      <w:b/>
      <w:bCs/>
      <w:smallCaps/>
      <w:color w:val="0F4761" w:themeColor="accent1" w:themeShade="BF"/>
      <w:spacing w:val="5"/>
    </w:rPr>
  </w:style>
  <w:style w:type="character" w:styleId="Hipervnculo">
    <w:name w:val="Hyperlink"/>
    <w:basedOn w:val="Fuentedeprrafopredeter"/>
    <w:uiPriority w:val="99"/>
    <w:unhideWhenUsed/>
    <w:rsid w:val="008B0684"/>
    <w:rPr>
      <w:color w:val="467886" w:themeColor="hyperlink"/>
      <w:u w:val="single"/>
    </w:rPr>
  </w:style>
  <w:style w:type="character" w:styleId="Mencinsinresolver">
    <w:name w:val="Unresolved Mention"/>
    <w:basedOn w:val="Fuentedeprrafopredeter"/>
    <w:uiPriority w:val="99"/>
    <w:semiHidden/>
    <w:unhideWhenUsed/>
    <w:rsid w:val="008B0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587253-dia-internacional-da-mulher-a-origem-operaria-do-08-de-marco" TargetMode="External"/><Relationship Id="rId13" Type="http://schemas.openxmlformats.org/officeDocument/2006/relationships/hyperlink" Target="https://ihu.unisinos.br/categorias/634413-violencia-contra-a-mulher-e-subnotificada-em-ate-98-5" TargetMode="External"/><Relationship Id="rId18" Type="http://schemas.openxmlformats.org/officeDocument/2006/relationships/hyperlink" Target="https://ihu.unisinos.br/560637-apesar-de-avancos-a-culpabilizacao-das-mulheres-nos-casos-de-violencia-sexual-persist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ihu.unisinos.br/categorias/159-entrevistas/656847-sim-ao-mercado-nao-ao-patriarcado-um-retrato-do-feminismo-de-direita-entrevista-com-melina-vazquez-e-carolina-spataro" TargetMode="External"/><Relationship Id="rId7" Type="http://schemas.openxmlformats.org/officeDocument/2006/relationships/hyperlink" Target="https://www.ihu.unisinos.br/663060-feminicidios-no-rs-tem-alta-de-53-em-relacao-ao-ano-passado" TargetMode="External"/><Relationship Id="rId12" Type="http://schemas.openxmlformats.org/officeDocument/2006/relationships/hyperlink" Target="https://ihu.unisinos.br/649243-na-primeira-decada-de-lei-rs-registrou-quase-mil-feminicidios" TargetMode="External"/><Relationship Id="rId17" Type="http://schemas.openxmlformats.org/officeDocument/2006/relationships/hyperlink" Target="https://ihu.unisinos.br/categorias/660863-festival-mel-rs-transforma-porto-alegre-em-centro-da-luta-contra-o-odio-e-os-feminicidios" TargetMode="External"/><Relationship Id="rId25" Type="http://schemas.openxmlformats.org/officeDocument/2006/relationships/hyperlink" Target="https://www.ihu.unisinos.br/663121-combate-a-violencia-contra-as-mulheres-essa-luta-ainda-e-urgente-entrevista-especial-com-cristiani-gentil-ricordi" TargetMode="External"/><Relationship Id="rId2" Type="http://schemas.openxmlformats.org/officeDocument/2006/relationships/settings" Target="settings.xml"/><Relationship Id="rId16" Type="http://schemas.openxmlformats.org/officeDocument/2006/relationships/hyperlink" Target="https://ihu.unisinos.br/categorias/642338-lei-maria-da-penha-faz-18-anos-enquanto-cresce-violencia-contra-mulheres" TargetMode="External"/><Relationship Id="rId20" Type="http://schemas.openxmlformats.org/officeDocument/2006/relationships/hyperlink" Target="https://www.ihu.unisinos.br/categorias/649176-onu-direitos-das-mulheres-recuaram-em-um-quarto-dos-paises" TargetMode="External"/><Relationship Id="rId1" Type="http://schemas.openxmlformats.org/officeDocument/2006/relationships/styles" Target="styles.xml"/><Relationship Id="rId6" Type="http://schemas.openxmlformats.org/officeDocument/2006/relationships/hyperlink" Target="https://www.ihu.unisinos.br/663055-feminicidio-a-nocao-de-propriedade-e-profunda-entrevista-especial-com-eva-alterman-blay" TargetMode="External"/><Relationship Id="rId11" Type="http://schemas.openxmlformats.org/officeDocument/2006/relationships/hyperlink" Target="https://ihu.unisinos.br/categorias/646569-o-patriarcado-vive-e-luta-contra-nos" TargetMode="External"/><Relationship Id="rId24" Type="http://schemas.openxmlformats.org/officeDocument/2006/relationships/hyperlink" Target="https://ihu.unisinos.br/660898-violencia-de-genero-o-que-precisa-ser-feito-artigo-de-alberto-corsani" TargetMode="External"/><Relationship Id="rId5" Type="http://schemas.openxmlformats.org/officeDocument/2006/relationships/hyperlink" Target="https://www.ihu.unisinos.br/663060-feminicidios-no-rs-tem-alta-de-53-em-relacao-ao-ano-passado" TargetMode="External"/><Relationship Id="rId15" Type="http://schemas.openxmlformats.org/officeDocument/2006/relationships/hyperlink" Target="https://ihu.unisinos.br/586282-sete-exemplos-de-masculinidade-%20toxica-que-voce-reconhecera-no-seu-dia-a-dia" TargetMode="External"/><Relationship Id="rId23" Type="http://schemas.openxmlformats.org/officeDocument/2006/relationships/hyperlink" Target="https://ihu.unisinos.br/categorias/637201-algumas-reflexoes-sobre-o-dia-internacional-da-mulher-artigo-de-marcia-rosane-junges" TargetMode="External"/><Relationship Id="rId10" Type="http://schemas.openxmlformats.org/officeDocument/2006/relationships/hyperlink" Target="https://ihu.unisinos.br/publicacoes/78-noticias/585609-o-problema-da-violencia-sexual-e-politico-nao-moral-entrevista-com-rita-segato" TargetMode="External"/><Relationship Id="rId19" Type="http://schemas.openxmlformats.org/officeDocument/2006/relationships/hyperlink" Target="https://www.ihu.unisinos.br/categorias/661166-feminicidio-contra-mulheres-negras-o-desafio-dos-direitos-humanos-artigo-de-reginete-bispo" TargetMode="External"/><Relationship Id="rId4" Type="http://schemas.openxmlformats.org/officeDocument/2006/relationships/image" Target="media/image1.png"/><Relationship Id="rId9" Type="http://schemas.openxmlformats.org/officeDocument/2006/relationships/hyperlink" Target="https://www.ihu.unisinos.br/663088-feminicidio-no-brasil-nove-em-cada-dez-vitimas-nao-tinham-medida-protetiva" TargetMode="External"/><Relationship Id="rId14" Type="http://schemas.openxmlformats.org/officeDocument/2006/relationships/hyperlink" Target="https://ihu.unisinos.br/categorias/646491-entre-patriarcado-e-machismo-artigo-de-filippo-riscica" TargetMode="External"/><Relationship Id="rId22" Type="http://schemas.openxmlformats.org/officeDocument/2006/relationships/hyperlink" Target="https://www.ihu.unisinos.br/categorias/660861-internet-espalha-misoginia-enquanto-acoes-de-prevencao-a-violencia-contra-mulher-sao-escassas-e-sofrem-resistencia"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4074</Words>
  <Characters>22410</Characters>
  <Application>Microsoft Office Word</Application>
  <DocSecurity>0</DocSecurity>
  <Lines>186</Lines>
  <Paragraphs>52</Paragraphs>
  <ScaleCrop>false</ScaleCrop>
  <Company/>
  <LinksUpToDate>false</LinksUpToDate>
  <CharactersWithSpaces>26432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2026-03-06T13:56:00Z</dcterms:created>
  <dcterms:modified xsi:type="dcterms:W3CDTF">2026-03-06T14:01:00Z</dcterms:modified>
</cp:coreProperties>
</file>