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9118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FA192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>En plena tensión entre EE. UU. e Irán, Arabia Saudí añade 500.000 barriles diarios al mercado</w:t>
      </w:r>
    </w:p>
    <w:p w14:paraId="67E1FE70" w14:textId="77777777" w:rsidR="00FA1920" w:rsidRPr="00FA1920" w:rsidRDefault="00FA1920" w:rsidP="00FA19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374E666" wp14:editId="16B7C3DA">
            <wp:extent cx="5162550" cy="1854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FBC8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48CA137A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tensión en Oriente Medio vuelve a sacudir al mercado energético.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En las últimas horas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Arabia Saudí ha decidido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incrementar en 500.000 barriles diarios su producción de petróleo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plena escalada entre Estados Unidos e Irán. Aunque la cifra es pequeña frente a un consumo global que supera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los 100 millones de barriles al día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 movimiento llega en un momento en que cualquier ajuste en la oferta puede alterar rápidamente las expectativas del mercado.</w:t>
      </w:r>
    </w:p>
    <w:p w14:paraId="0B5A17C6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tensión se concentra en un punto clave del mapa energético: el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estrecho de Ormuz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por donde transitan cerca de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20 millones de barriles diarios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alrededor de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1 de cada 5 barriles de petróleo que se consumen en el mundo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Cualquier interrupción en esta ruta estratégica podría provocar un impacto inmediato en los precios del crudo y del </w:t>
      </w:r>
      <w:hyperlink r:id="rId5" w:tgtFrame="_blank" w:history="1">
        <w:r w:rsidRPr="00FA1920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gas</w:t>
        </w:r>
      </w:hyperlink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1A4EC25A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contexto, el movimiento saudí se interpreta también como una maniobra preventiva para reforzar el suministro energético global. Con una producción cercana a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10 millones de barriles diarios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una capacidad máxima de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12 millones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alrededor de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2 millones de barriles diarios de capacidad adicional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Arabia Saudí sigue siendo uno de los pocos países capaces de aumentar rápidamente la oferta si el conflicto termina afectando al flujo de petróleo en la región.</w:t>
      </w:r>
    </w:p>
    <w:p w14:paraId="5A82ABBE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FA19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UY"/>
          <w14:ligatures w14:val="none"/>
        </w:rPr>
        <w:t>Impacto potencial en los precios de la energía y en los consumidores</w:t>
      </w:r>
      <w:r w:rsidRPr="00FA1920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 </w:t>
      </w:r>
    </w:p>
    <w:p w14:paraId="620388F0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decisión saudí se produce en un momento en el que los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precios de la energía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vuelven a mostrar una fuerte sensibilidad a la situación geopolítica. Las tensiones con Irán han reavivado el temor a ataques contra infraestructuras petroleras o bloqueos en rutas estratégicas, escenarios que históricamente han provocado repuntes bruscos en el precio del crudo. Para Europa, el impacto podría sentirse de forma indirecta pero relevante:</w:t>
      </w:r>
    </w:p>
    <w:p w14:paraId="3CA95520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encarecimiento del petróleo suele trasladarse al</w:t>
      </w:r>
      <w:hyperlink r:id="rId6" w:tgtFrame="_blank" w:history="1">
        <w:r w:rsidRPr="00FA192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FA1920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precio del gas natural</w:t>
        </w:r>
      </w:hyperlink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ya que ambos mercados energéticos mantienen una relación estrecha en el comercio 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lastRenderedPageBreak/>
        <w:t>internacional. Un aumento simultáneo del precio del crudo y del gas incrementa los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costes de generación eléctrica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especialmente en sistemas energéticos donde los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combustibles fósiles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siguen marcando el precio marginal. El resultado suele ser un aumento generalizado de los costes energéticos, que termina reflejándose en la</w:t>
      </w:r>
      <w:hyperlink r:id="rId7" w:tgtFrame="_blank" w:history="1">
        <w:r w:rsidRPr="00FA192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FA1920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factura</w:t>
        </w:r>
      </w:hyperlink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hogares y empresas. La historia reciente demuestra que estas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crisis energéticas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pueden trasladarse con rapidez al consumidor final, especialmente en sistemas eléctricos que dependen en parte de combustibles fósiles para fijar el</w:t>
      </w:r>
      <w:hyperlink r:id="rId8" w:tgtFrame="_blank" w:history="1">
        <w:r w:rsidRPr="00FA192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FA1920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precio de la electricidad</w:t>
        </w:r>
      </w:hyperlink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473382B8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FA19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UY"/>
          <w14:ligatures w14:val="none"/>
        </w:rPr>
        <w:t>Equilibrio energético global y papel estratégico de los grandes productores</w:t>
      </w:r>
      <w:r w:rsidRPr="00FA1920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 </w:t>
      </w:r>
    </w:p>
    <w:p w14:paraId="1E2A9B5F" w14:textId="77777777" w:rsidR="00FA1920" w:rsidRPr="00FA1920" w:rsidRDefault="00FA1920" w:rsidP="00FA192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reacción de Arabia Saudí también refleja el papel central que siguen desempeñando los grandes productores de petróleo en la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estabilidad energética mundial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Con capacidad para aumentar o reducir su producción con relativa rapidez, Riad se mantiene como uno de los pocos actores capaces de influir directamente en el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equilibrio entre oferta y demanda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Sin embargo, esta capacidad de intervención no elimina la vulnerabilidad estructural del</w:t>
      </w:r>
      <w:hyperlink r:id="rId9" w:tgtFrame="_blank" w:history="1">
        <w:r w:rsidRPr="00FA1920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FA1920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mercado energético</w:t>
        </w:r>
      </w:hyperlink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global frente a los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conflictos geopolíticos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Cada episodio de tensión en Oriente Medio vuelve a recordar que una parte importante del suministro mundial depende de regiones políticamente inestables. Por eso, aunque el aumento de producción saudí puede suavizar las tensiones a corto plazo, los analistas coinciden en que el verdadero factor determinante seguirá siendo la evolución del conflicto regional y su posible impacto sobre las rutas y las </w:t>
      </w:r>
      <w:r w:rsidRPr="00FA1920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infraestructuras energéticas estratégicas</w:t>
      </w: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63974CC6" w14:textId="77777777" w:rsidR="00FA1920" w:rsidRPr="00FA1920" w:rsidRDefault="00FA1920" w:rsidP="00FA19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3E6929C9" w14:textId="77777777" w:rsidR="00FA1920" w:rsidRPr="00FA1920" w:rsidRDefault="00FA1920" w:rsidP="00FA1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A1920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Fuente: </w:t>
      </w:r>
      <w:hyperlink r:id="rId10" w:tgtFrame="_blank" w:history="1">
        <w:r w:rsidRPr="00FA1920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61B823B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20"/>
    <w:rsid w:val="00926044"/>
    <w:rsid w:val="009F7158"/>
    <w:rsid w:val="00DE17AC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0226"/>
  <w15:chartTrackingRefBased/>
  <w15:docId w15:val="{4238E163-47EC-4176-9DD2-B2138356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9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9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9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9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9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9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9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9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9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9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precio-de-la-luz/ho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pernest.es/pagar-factura-lu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pernest.es/precio-gas-natur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tarifas-gas-natural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apernest.es/comparador-lu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2026-03-09T12:12:00Z</dcterms:created>
  <dcterms:modified xsi:type="dcterms:W3CDTF">2026-03-09T12:12:00Z</dcterms:modified>
</cp:coreProperties>
</file>