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49DA6" w14:textId="7781C948"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drawing>
          <wp:inline distT="0" distB="0" distL="0" distR="0" wp14:anchorId="4913B821" wp14:editId="384E4F8D">
            <wp:extent cx="5400040" cy="2684780"/>
            <wp:effectExtent l="0" t="0" r="0" b="1270"/>
            <wp:docPr id="132204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4387" name=""/>
                    <pic:cNvPicPr/>
                  </pic:nvPicPr>
                  <pic:blipFill>
                    <a:blip r:embed="rId4"/>
                    <a:stretch>
                      <a:fillRect/>
                    </a:stretch>
                  </pic:blipFill>
                  <pic:spPr>
                    <a:xfrm>
                      <a:off x="0" y="0"/>
                      <a:ext cx="5400040" cy="2684780"/>
                    </a:xfrm>
                    <a:prstGeom prst="rect">
                      <a:avLst/>
                    </a:prstGeom>
                  </pic:spPr>
                </pic:pic>
              </a:graphicData>
            </a:graphic>
          </wp:inline>
        </w:drawing>
      </w:r>
    </w:p>
    <w:p w14:paraId="0BA285DA"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751BC17E" w14:textId="3D3093CA"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 veneración de las reliquias de los mártires es fundamental en la forma en que los cristianos construyeron sus lugares de culto y sus ciudades. Las </w:t>
      </w:r>
      <w:hyperlink r:id="rId5" w:tgtFrame="_blank" w:history="1">
        <w:r w:rsidRPr="00AD5C78">
          <w:rPr>
            <w:rFonts w:ascii="Arial" w:eastAsia="Times New Roman" w:hAnsi="Arial" w:cs="Arial"/>
            <w:color w:val="FC6B01"/>
            <w:kern w:val="0"/>
            <w:sz w:val="24"/>
            <w:szCs w:val="24"/>
            <w:u w:val="single"/>
            <w:lang w:eastAsia="es-UY"/>
            <w14:ligatures w14:val="none"/>
          </w:rPr>
          <w:t> tumbas de los mártires </w:t>
        </w:r>
      </w:hyperlink>
      <w:r w:rsidRPr="00AD5C78">
        <w:rPr>
          <w:rFonts w:ascii="Arial" w:eastAsia="Times New Roman" w:hAnsi="Arial" w:cs="Arial"/>
          <w:color w:val="666666"/>
          <w:kern w:val="0"/>
          <w:sz w:val="24"/>
          <w:szCs w:val="24"/>
          <w:lang w:eastAsia="es-UY"/>
          <w14:ligatures w14:val="none"/>
        </w:rPr>
        <w:t> son el fundamento sobre el que se erige el edificio destinado al culto y la celebración. El altar se alza sobre las tumbas», escribe  </w:t>
      </w:r>
      <w:hyperlink r:id="rId6" w:tgtFrame="_blank" w:history="1">
        <w:r w:rsidRPr="00AD5C78">
          <w:rPr>
            <w:rFonts w:ascii="Arial" w:eastAsia="Times New Roman" w:hAnsi="Arial" w:cs="Arial"/>
            <w:color w:val="FC6B01"/>
            <w:kern w:val="0"/>
            <w:sz w:val="24"/>
            <w:szCs w:val="24"/>
            <w:u w:val="single"/>
            <w:lang w:eastAsia="es-UY"/>
            <w14:ligatures w14:val="none"/>
          </w:rPr>
          <w:t>Andrea Grillo</w:t>
        </w:r>
      </w:hyperlink>
      <w:r w:rsidRPr="00AD5C78">
        <w:rPr>
          <w:rFonts w:ascii="Arial" w:eastAsia="Times New Roman" w:hAnsi="Arial" w:cs="Arial"/>
          <w:color w:val="666666"/>
          <w:kern w:val="0"/>
          <w:sz w:val="24"/>
          <w:szCs w:val="24"/>
          <w:lang w:eastAsia="es-UY"/>
          <w14:ligatures w14:val="none"/>
        </w:rPr>
        <w:t> , teólogo italiano, en un artículo publicado por  </w:t>
      </w:r>
      <w:proofErr w:type="spellStart"/>
      <w:r w:rsidRPr="00AD5C78">
        <w:rPr>
          <w:rFonts w:ascii="Arial" w:eastAsia="Times New Roman" w:hAnsi="Arial" w:cs="Arial"/>
          <w:color w:val="666666"/>
          <w:kern w:val="0"/>
          <w:sz w:val="24"/>
          <w:szCs w:val="24"/>
          <w:lang w:eastAsia="es-UY"/>
          <w14:ligatures w14:val="none"/>
        </w:rPr>
        <w:fldChar w:fldCharType="begin"/>
      </w:r>
      <w:r w:rsidRPr="00AD5C78">
        <w:rPr>
          <w:rFonts w:ascii="Arial" w:eastAsia="Times New Roman" w:hAnsi="Arial" w:cs="Arial"/>
          <w:color w:val="666666"/>
          <w:kern w:val="0"/>
          <w:sz w:val="24"/>
          <w:szCs w:val="24"/>
          <w:lang w:eastAsia="es-UY"/>
          <w14:ligatures w14:val="none"/>
        </w:rPr>
        <w:instrText>HYPERLINK "https://www.cittadellaeditrice.com/munera/come-se-non/" \t "_blank"</w:instrText>
      </w:r>
      <w:r w:rsidRPr="00AD5C78">
        <w:rPr>
          <w:rFonts w:ascii="Arial" w:eastAsia="Times New Roman" w:hAnsi="Arial" w:cs="Arial"/>
          <w:color w:val="666666"/>
          <w:kern w:val="0"/>
          <w:sz w:val="24"/>
          <w:szCs w:val="24"/>
          <w:lang w:eastAsia="es-UY"/>
          <w14:ligatures w14:val="none"/>
        </w:rPr>
      </w:r>
      <w:r w:rsidRPr="00AD5C78">
        <w:rPr>
          <w:rFonts w:ascii="Arial" w:eastAsia="Times New Roman" w:hAnsi="Arial" w:cs="Arial"/>
          <w:color w:val="666666"/>
          <w:kern w:val="0"/>
          <w:sz w:val="24"/>
          <w:szCs w:val="24"/>
          <w:lang w:eastAsia="es-UY"/>
          <w14:ligatures w14:val="none"/>
        </w:rPr>
        <w:fldChar w:fldCharType="separate"/>
      </w:r>
      <w:r w:rsidRPr="00AD5C78">
        <w:rPr>
          <w:rFonts w:ascii="Arial" w:eastAsia="Times New Roman" w:hAnsi="Arial" w:cs="Arial"/>
          <w:color w:val="FC6B01"/>
          <w:kern w:val="0"/>
          <w:sz w:val="24"/>
          <w:szCs w:val="24"/>
          <w:u w:val="single"/>
          <w:lang w:eastAsia="es-UY"/>
          <w14:ligatures w14:val="none"/>
        </w:rPr>
        <w:t>Come</w:t>
      </w:r>
      <w:proofErr w:type="spellEnd"/>
      <w:r w:rsidRPr="00AD5C78">
        <w:rPr>
          <w:rFonts w:ascii="Arial" w:eastAsia="Times New Roman" w:hAnsi="Arial" w:cs="Arial"/>
          <w:color w:val="FC6B01"/>
          <w:kern w:val="0"/>
          <w:sz w:val="24"/>
          <w:szCs w:val="24"/>
          <w:u w:val="single"/>
          <w:lang w:eastAsia="es-UY"/>
          <w14:ligatures w14:val="none"/>
        </w:rPr>
        <w:t xml:space="preserve"> se non</w:t>
      </w:r>
      <w:r w:rsidRPr="00AD5C78">
        <w:rPr>
          <w:rFonts w:ascii="Arial" w:eastAsia="Times New Roman" w:hAnsi="Arial" w:cs="Arial"/>
          <w:color w:val="666666"/>
          <w:kern w:val="0"/>
          <w:sz w:val="24"/>
          <w:szCs w:val="24"/>
          <w:lang w:eastAsia="es-UY"/>
          <w14:ligatures w14:val="none"/>
        </w:rPr>
        <w:fldChar w:fldCharType="end"/>
      </w:r>
      <w:r w:rsidRPr="00AD5C78">
        <w:rPr>
          <w:rFonts w:ascii="Arial" w:eastAsia="Times New Roman" w:hAnsi="Arial" w:cs="Arial"/>
          <w:color w:val="666666"/>
          <w:kern w:val="0"/>
          <w:sz w:val="24"/>
          <w:szCs w:val="24"/>
          <w:lang w:eastAsia="es-UY"/>
          <w14:ligatures w14:val="none"/>
        </w:rPr>
        <w:t> el 8 de marzo de 2026.</w:t>
      </w:r>
    </w:p>
    <w:p w14:paraId="322CEC9C"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44DAEB6B"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Aquí está el artículo.</w:t>
      </w:r>
    </w:p>
    <w:p w14:paraId="1D865066"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Dos diferencias significativas subyacen a las formas de culto cristianas: el cuerpo de cada </w:t>
      </w:r>
      <w:r w:rsidRPr="00AD5C78">
        <w:rPr>
          <w:rFonts w:ascii="Arial" w:eastAsia="Times New Roman" w:hAnsi="Arial" w:cs="Arial"/>
          <w:b/>
          <w:bCs/>
          <w:color w:val="666666"/>
          <w:kern w:val="0"/>
          <w:sz w:val="24"/>
          <w:szCs w:val="24"/>
          <w:lang w:eastAsia="es-UY"/>
          <w14:ligatures w14:val="none"/>
        </w:rPr>
        <w:t>mártir de la fe en Cristo</w:t>
      </w:r>
      <w:r w:rsidRPr="00AD5C78">
        <w:rPr>
          <w:rFonts w:ascii="Arial" w:eastAsia="Times New Roman" w:hAnsi="Arial" w:cs="Arial"/>
          <w:color w:val="666666"/>
          <w:kern w:val="0"/>
          <w:sz w:val="24"/>
          <w:szCs w:val="24"/>
          <w:lang w:eastAsia="es-UY"/>
          <w14:ligatures w14:val="none"/>
        </w:rPr>
        <w:t> permanece. Sobre estos restos mortales se edifican el altar, la iglesia y la ciudad. Esto ha sido característico del </w:t>
      </w:r>
      <w:r w:rsidRPr="00AD5C78">
        <w:rPr>
          <w:rFonts w:ascii="Arial" w:eastAsia="Times New Roman" w:hAnsi="Arial" w:cs="Arial"/>
          <w:b/>
          <w:bCs/>
          <w:color w:val="666666"/>
          <w:kern w:val="0"/>
          <w:sz w:val="24"/>
          <w:szCs w:val="24"/>
          <w:lang w:eastAsia="es-UY"/>
          <w14:ligatures w14:val="none"/>
        </w:rPr>
        <w:t>cristianismo</w:t>
      </w:r>
      <w:r w:rsidRPr="00AD5C78">
        <w:rPr>
          <w:rFonts w:ascii="Arial" w:eastAsia="Times New Roman" w:hAnsi="Arial" w:cs="Arial"/>
          <w:color w:val="666666"/>
          <w:kern w:val="0"/>
          <w:sz w:val="24"/>
          <w:szCs w:val="24"/>
          <w:lang w:eastAsia="es-UY"/>
          <w14:ligatures w14:val="none"/>
        </w:rPr>
        <w:t> desde sus inicios, diferenciándose así del mundo antiguo, que separaba rigurosamente a los muertos de los vivos. La vida cristiana se desarrolla en estrecha relación con los cuerpos de los difuntos. Por otro lado, no poseemos reliquias de Jesús: la </w:t>
      </w:r>
      <w:hyperlink r:id="rId7" w:tgtFrame="_blank" w:history="1">
        <w:r w:rsidRPr="00AD5C78">
          <w:rPr>
            <w:rFonts w:ascii="Arial" w:eastAsia="Times New Roman" w:hAnsi="Arial" w:cs="Arial"/>
            <w:color w:val="FC6B01"/>
            <w:kern w:val="0"/>
            <w:sz w:val="24"/>
            <w:szCs w:val="24"/>
            <w:u w:val="single"/>
            <w:lang w:eastAsia="es-UY"/>
            <w14:ligatures w14:val="none"/>
          </w:rPr>
          <w:t>resurrección y ascensión del Señor</w:t>
        </w:r>
      </w:hyperlink>
      <w:r w:rsidRPr="00AD5C78">
        <w:rPr>
          <w:rFonts w:ascii="Arial" w:eastAsia="Times New Roman" w:hAnsi="Arial" w:cs="Arial"/>
          <w:color w:val="666666"/>
          <w:kern w:val="0"/>
          <w:sz w:val="24"/>
          <w:szCs w:val="24"/>
          <w:lang w:eastAsia="es-UY"/>
          <w14:ligatures w14:val="none"/>
        </w:rPr>
        <w:t> (y la </w:t>
      </w:r>
      <w:hyperlink r:id="rId8" w:tgtFrame="_blank" w:history="1">
        <w:r w:rsidRPr="00AD5C78">
          <w:rPr>
            <w:rFonts w:ascii="Arial" w:eastAsia="Times New Roman" w:hAnsi="Arial" w:cs="Arial"/>
            <w:color w:val="FC6B01"/>
            <w:kern w:val="0"/>
            <w:sz w:val="24"/>
            <w:szCs w:val="24"/>
            <w:u w:val="single"/>
            <w:lang w:eastAsia="es-UY"/>
            <w14:ligatures w14:val="none"/>
          </w:rPr>
          <w:t>asunción de María</w:t>
        </w:r>
      </w:hyperlink>
      <w:r w:rsidRPr="00AD5C78">
        <w:rPr>
          <w:rFonts w:ascii="Arial" w:eastAsia="Times New Roman" w:hAnsi="Arial" w:cs="Arial"/>
          <w:color w:val="666666"/>
          <w:kern w:val="0"/>
          <w:sz w:val="24"/>
          <w:szCs w:val="24"/>
          <w:lang w:eastAsia="es-UY"/>
          <w14:ligatures w14:val="none"/>
        </w:rPr>
        <w:t> al cielo) impiden que el </w:t>
      </w:r>
      <w:r w:rsidRPr="00AD5C78">
        <w:rPr>
          <w:rFonts w:ascii="Arial" w:eastAsia="Times New Roman" w:hAnsi="Arial" w:cs="Arial"/>
          <w:b/>
          <w:bCs/>
          <w:color w:val="666666"/>
          <w:kern w:val="0"/>
          <w:sz w:val="24"/>
          <w:szCs w:val="24"/>
          <w:lang w:eastAsia="es-UY"/>
          <w14:ligatures w14:val="none"/>
        </w:rPr>
        <w:t>Señor</w:t>
      </w:r>
      <w:r w:rsidRPr="00AD5C78">
        <w:rPr>
          <w:rFonts w:ascii="Arial" w:eastAsia="Times New Roman" w:hAnsi="Arial" w:cs="Arial"/>
          <w:color w:val="666666"/>
          <w:kern w:val="0"/>
          <w:sz w:val="24"/>
          <w:szCs w:val="24"/>
          <w:lang w:eastAsia="es-UY"/>
          <w14:ligatures w14:val="none"/>
        </w:rPr>
        <w:t> (y </w:t>
      </w:r>
      <w:r w:rsidRPr="00AD5C78">
        <w:rPr>
          <w:rFonts w:ascii="Arial" w:eastAsia="Times New Roman" w:hAnsi="Arial" w:cs="Arial"/>
          <w:b/>
          <w:bCs/>
          <w:color w:val="666666"/>
          <w:kern w:val="0"/>
          <w:sz w:val="24"/>
          <w:szCs w:val="24"/>
          <w:lang w:eastAsia="es-UY"/>
          <w14:ligatures w14:val="none"/>
        </w:rPr>
        <w:t>María</w:t>
      </w:r>
      <w:r w:rsidRPr="00AD5C78">
        <w:rPr>
          <w:rFonts w:ascii="Arial" w:eastAsia="Times New Roman" w:hAnsi="Arial" w:cs="Arial"/>
          <w:color w:val="666666"/>
          <w:kern w:val="0"/>
          <w:sz w:val="24"/>
          <w:szCs w:val="24"/>
          <w:lang w:eastAsia="es-UY"/>
          <w14:ligatures w14:val="none"/>
        </w:rPr>
        <w:t> ) tengan relación con las reliquias. El cuerpo resucitado no se halla en reliquias, sino en el Cuerpo vivo de Cristo, sentado a la derecha del Padre, que posee una figura sacramental y una identidad eclesial. A diferencia del cuerpo del Hijo, el cuerpo de </w:t>
      </w:r>
      <w:r w:rsidRPr="00AD5C78">
        <w:rPr>
          <w:rFonts w:ascii="Arial" w:eastAsia="Times New Roman" w:hAnsi="Arial" w:cs="Arial"/>
          <w:b/>
          <w:bCs/>
          <w:color w:val="666666"/>
          <w:kern w:val="0"/>
          <w:sz w:val="24"/>
          <w:szCs w:val="24"/>
          <w:lang w:eastAsia="es-UY"/>
          <w14:ligatures w14:val="none"/>
        </w:rPr>
        <w:t>María</w:t>
      </w:r>
      <w:r w:rsidRPr="00AD5C78">
        <w:rPr>
          <w:rFonts w:ascii="Arial" w:eastAsia="Times New Roman" w:hAnsi="Arial" w:cs="Arial"/>
          <w:color w:val="666666"/>
          <w:kern w:val="0"/>
          <w:sz w:val="24"/>
          <w:szCs w:val="24"/>
          <w:lang w:eastAsia="es-UY"/>
          <w14:ligatures w14:val="none"/>
        </w:rPr>
        <w:t> simplemente es «asunto al cielo».</w:t>
      </w:r>
    </w:p>
    <w:p w14:paraId="7B2D53D8"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44C71B71"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Es evidente que esta diferencia radical entre el </w:t>
      </w:r>
      <w:r w:rsidRPr="00AD5C78">
        <w:rPr>
          <w:rFonts w:ascii="Arial" w:eastAsia="Times New Roman" w:hAnsi="Arial" w:cs="Arial"/>
          <w:b/>
          <w:bCs/>
          <w:color w:val="666666"/>
          <w:kern w:val="0"/>
          <w:sz w:val="24"/>
          <w:szCs w:val="24"/>
          <w:lang w:eastAsia="es-UY"/>
          <w14:ligatures w14:val="none"/>
        </w:rPr>
        <w:t>Redentor</w:t>
      </w:r>
      <w:r w:rsidRPr="00AD5C78">
        <w:rPr>
          <w:rFonts w:ascii="Arial" w:eastAsia="Times New Roman" w:hAnsi="Arial" w:cs="Arial"/>
          <w:color w:val="666666"/>
          <w:kern w:val="0"/>
          <w:sz w:val="24"/>
          <w:szCs w:val="24"/>
          <w:lang w:eastAsia="es-UY"/>
          <w14:ligatures w14:val="none"/>
        </w:rPr>
        <w:t> y los redimidos (de los cuales </w:t>
      </w:r>
      <w:r w:rsidRPr="00AD5C78">
        <w:rPr>
          <w:rFonts w:ascii="Arial" w:eastAsia="Times New Roman" w:hAnsi="Arial" w:cs="Arial"/>
          <w:b/>
          <w:bCs/>
          <w:color w:val="666666"/>
          <w:kern w:val="0"/>
          <w:sz w:val="24"/>
          <w:szCs w:val="24"/>
          <w:lang w:eastAsia="es-UY"/>
          <w14:ligatures w14:val="none"/>
        </w:rPr>
        <w:t>María</w:t>
      </w:r>
      <w:r w:rsidRPr="00AD5C78">
        <w:rPr>
          <w:rFonts w:ascii="Arial" w:eastAsia="Times New Roman" w:hAnsi="Arial" w:cs="Arial"/>
          <w:color w:val="666666"/>
          <w:kern w:val="0"/>
          <w:sz w:val="24"/>
          <w:szCs w:val="24"/>
          <w:lang w:eastAsia="es-UY"/>
          <w14:ligatures w14:val="none"/>
        </w:rPr>
        <w:t> también forma parte) dificulta la conciliación de las formas de veneración de las reliquias y de la Madre de Dios con las formas de culto al Señor.</w:t>
      </w:r>
    </w:p>
    <w:p w14:paraId="513C2BB7"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25749558"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Sin embargo, a lo largo de la historia, especialmente en </w:t>
      </w:r>
      <w:r w:rsidRPr="00AD5C78">
        <w:rPr>
          <w:rFonts w:ascii="Arial" w:eastAsia="Times New Roman" w:hAnsi="Arial" w:cs="Arial"/>
          <w:b/>
          <w:bCs/>
          <w:color w:val="666666"/>
          <w:kern w:val="0"/>
          <w:sz w:val="24"/>
          <w:szCs w:val="24"/>
          <w:lang w:eastAsia="es-UY"/>
          <w14:ligatures w14:val="none"/>
        </w:rPr>
        <w:t>el catolicismo</w:t>
      </w:r>
      <w:r w:rsidRPr="00AD5C78">
        <w:rPr>
          <w:rFonts w:ascii="Arial" w:eastAsia="Times New Roman" w:hAnsi="Arial" w:cs="Arial"/>
          <w:color w:val="666666"/>
          <w:kern w:val="0"/>
          <w:sz w:val="24"/>
          <w:szCs w:val="24"/>
          <w:lang w:eastAsia="es-UY"/>
          <w14:ligatures w14:val="none"/>
        </w:rPr>
        <w:t> , pero también en </w:t>
      </w:r>
      <w:r w:rsidRPr="00AD5C78">
        <w:rPr>
          <w:rFonts w:ascii="Arial" w:eastAsia="Times New Roman" w:hAnsi="Arial" w:cs="Arial"/>
          <w:b/>
          <w:bCs/>
          <w:color w:val="666666"/>
          <w:kern w:val="0"/>
          <w:sz w:val="24"/>
          <w:szCs w:val="24"/>
          <w:lang w:eastAsia="es-UY"/>
          <w14:ligatures w14:val="none"/>
        </w:rPr>
        <w:t>la ortodoxia</w:t>
      </w:r>
      <w:r w:rsidRPr="00AD5C78">
        <w:rPr>
          <w:rFonts w:ascii="Arial" w:eastAsia="Times New Roman" w:hAnsi="Arial" w:cs="Arial"/>
          <w:color w:val="666666"/>
          <w:kern w:val="0"/>
          <w:sz w:val="24"/>
          <w:szCs w:val="24"/>
          <w:lang w:eastAsia="es-UY"/>
          <w14:ligatures w14:val="none"/>
        </w:rPr>
        <w:t> , hemos presenciado una convergencia entre veneración y adoración, particularmente en el fenómeno de la exposición. La exhibición de reliquias, imágenes e iconos, así como la de la partícula, han adquirido con el tiempo elementos de cercanía que pueden resultar reconfortantes por un lado y preocupantes por otro. Quisiera abordar brevemente dos fenómenos de esta superposición entre veneración y adoración: la relación entre relicario y custodia, y la relación entre relicario y tabernáculo.</w:t>
      </w:r>
    </w:p>
    <w:p w14:paraId="3FB04335"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04921BE7"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1. La proximidad entre el relicario y la custodia.</w:t>
      </w:r>
    </w:p>
    <w:p w14:paraId="7445129B"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Como ya he mencionado, la veneración de las reliquias de los mártires es fundamental en la construcción de los lugares de culto y las ciudades cristianas. Las </w:t>
      </w:r>
      <w:hyperlink r:id="rId9" w:tgtFrame="_blank" w:history="1">
        <w:r w:rsidRPr="00AD5C78">
          <w:rPr>
            <w:rFonts w:ascii="Arial" w:eastAsia="Times New Roman" w:hAnsi="Arial" w:cs="Arial"/>
            <w:color w:val="FC6B01"/>
            <w:kern w:val="0"/>
            <w:sz w:val="24"/>
            <w:szCs w:val="24"/>
            <w:u w:val="single"/>
            <w:lang w:eastAsia="es-UY"/>
            <w14:ligatures w14:val="none"/>
          </w:rPr>
          <w:t>tumbas de los mártires</w:t>
        </w:r>
      </w:hyperlink>
      <w:r w:rsidRPr="00AD5C78">
        <w:rPr>
          <w:rFonts w:ascii="Arial" w:eastAsia="Times New Roman" w:hAnsi="Arial" w:cs="Arial"/>
          <w:color w:val="666666"/>
          <w:kern w:val="0"/>
          <w:sz w:val="24"/>
          <w:szCs w:val="24"/>
          <w:lang w:eastAsia="es-UY"/>
          <w14:ligatures w14:val="none"/>
        </w:rPr>
        <w:t> constituyen el fundamento sobre el que se erige el edificio destinado al culto y la celebración. El altar se alza sobre las tumbas. Esto se aprecia claramente en la </w:t>
      </w:r>
      <w:r w:rsidRPr="00AD5C78">
        <w:rPr>
          <w:rFonts w:ascii="Arial" w:eastAsia="Times New Roman" w:hAnsi="Arial" w:cs="Arial"/>
          <w:b/>
          <w:bCs/>
          <w:color w:val="666666"/>
          <w:kern w:val="0"/>
          <w:sz w:val="24"/>
          <w:szCs w:val="24"/>
          <w:lang w:eastAsia="es-UY"/>
          <w14:ligatures w14:val="none"/>
        </w:rPr>
        <w:t>Basílica de San Pedro</w:t>
      </w:r>
      <w:r w:rsidRPr="00AD5C78">
        <w:rPr>
          <w:rFonts w:ascii="Arial" w:eastAsia="Times New Roman" w:hAnsi="Arial" w:cs="Arial"/>
          <w:color w:val="666666"/>
          <w:kern w:val="0"/>
          <w:sz w:val="24"/>
          <w:szCs w:val="24"/>
          <w:lang w:eastAsia="es-UY"/>
          <w14:ligatures w14:val="none"/>
        </w:rPr>
        <w:t> en </w:t>
      </w:r>
      <w:r w:rsidRPr="00AD5C78">
        <w:rPr>
          <w:rFonts w:ascii="Arial" w:eastAsia="Times New Roman" w:hAnsi="Arial" w:cs="Arial"/>
          <w:b/>
          <w:bCs/>
          <w:color w:val="666666"/>
          <w:kern w:val="0"/>
          <w:sz w:val="24"/>
          <w:szCs w:val="24"/>
          <w:lang w:eastAsia="es-UY"/>
          <w14:ligatures w14:val="none"/>
        </w:rPr>
        <w:t>Roma</w:t>
      </w:r>
      <w:r w:rsidRPr="00AD5C78">
        <w:rPr>
          <w:rFonts w:ascii="Arial" w:eastAsia="Times New Roman" w:hAnsi="Arial" w:cs="Arial"/>
          <w:color w:val="666666"/>
          <w:kern w:val="0"/>
          <w:sz w:val="24"/>
          <w:szCs w:val="24"/>
          <w:lang w:eastAsia="es-UY"/>
          <w14:ligatures w14:val="none"/>
        </w:rPr>
        <w:t> y en la </w:t>
      </w:r>
      <w:r w:rsidRPr="00AD5C78">
        <w:rPr>
          <w:rFonts w:ascii="Arial" w:eastAsia="Times New Roman" w:hAnsi="Arial" w:cs="Arial"/>
          <w:b/>
          <w:bCs/>
          <w:color w:val="666666"/>
          <w:kern w:val="0"/>
          <w:sz w:val="24"/>
          <w:szCs w:val="24"/>
          <w:lang w:eastAsia="es-UY"/>
          <w14:ligatures w14:val="none"/>
        </w:rPr>
        <w:t>Basílica de San Ambrosio</w:t>
      </w:r>
      <w:r w:rsidRPr="00AD5C78">
        <w:rPr>
          <w:rFonts w:ascii="Arial" w:eastAsia="Times New Roman" w:hAnsi="Arial" w:cs="Arial"/>
          <w:color w:val="666666"/>
          <w:kern w:val="0"/>
          <w:sz w:val="24"/>
          <w:szCs w:val="24"/>
          <w:lang w:eastAsia="es-UY"/>
          <w14:ligatures w14:val="none"/>
        </w:rPr>
        <w:t> en </w:t>
      </w:r>
      <w:r w:rsidRPr="00AD5C78">
        <w:rPr>
          <w:rFonts w:ascii="Arial" w:eastAsia="Times New Roman" w:hAnsi="Arial" w:cs="Arial"/>
          <w:b/>
          <w:bCs/>
          <w:color w:val="666666"/>
          <w:kern w:val="0"/>
          <w:sz w:val="24"/>
          <w:szCs w:val="24"/>
          <w:lang w:eastAsia="es-UY"/>
          <w14:ligatures w14:val="none"/>
        </w:rPr>
        <w:t>Milán</w:t>
      </w:r>
      <w:r w:rsidRPr="00AD5C78">
        <w:rPr>
          <w:rFonts w:ascii="Arial" w:eastAsia="Times New Roman" w:hAnsi="Arial" w:cs="Arial"/>
          <w:color w:val="666666"/>
          <w:kern w:val="0"/>
          <w:sz w:val="24"/>
          <w:szCs w:val="24"/>
          <w:lang w:eastAsia="es-UY"/>
          <w14:ligatures w14:val="none"/>
        </w:rPr>
        <w:t xml:space="preserve"> . El desarrollo histórico del culto a los santos nunca ha contradicho esta práctica, que también incluía los relicarios, en los que la reliquia no solo se conserva, sino que también se venera y se exhibe, siempre con la discreción y confidencialidad propias de una "parte", una "partícula". Los restos mortales del mártir se honran con un propósito mayor. Más reciente es la práctica de exhibir el cuerpo entero, debidamente tratado. </w:t>
      </w:r>
      <w:proofErr w:type="gramStart"/>
      <w:r w:rsidRPr="00AD5C78">
        <w:rPr>
          <w:rFonts w:ascii="Arial" w:eastAsia="Times New Roman" w:hAnsi="Arial" w:cs="Arial"/>
          <w:color w:val="666666"/>
          <w:kern w:val="0"/>
          <w:sz w:val="24"/>
          <w:szCs w:val="24"/>
          <w:lang w:eastAsia="es-UY"/>
          <w14:ligatures w14:val="none"/>
        </w:rPr>
        <w:t>Nunca antes</w:t>
      </w:r>
      <w:proofErr w:type="gramEnd"/>
      <w:r w:rsidRPr="00AD5C78">
        <w:rPr>
          <w:rFonts w:ascii="Arial" w:eastAsia="Times New Roman" w:hAnsi="Arial" w:cs="Arial"/>
          <w:color w:val="666666"/>
          <w:kern w:val="0"/>
          <w:sz w:val="24"/>
          <w:szCs w:val="24"/>
          <w:lang w:eastAsia="es-UY"/>
          <w14:ligatures w14:val="none"/>
        </w:rPr>
        <w:t xml:space="preserve"> se habían exhibido los </w:t>
      </w:r>
      <w:hyperlink r:id="rId10" w:tgtFrame="_blank" w:history="1">
        <w:r w:rsidRPr="00AD5C78">
          <w:rPr>
            <w:rFonts w:ascii="Arial" w:eastAsia="Times New Roman" w:hAnsi="Arial" w:cs="Arial"/>
            <w:color w:val="FC6B01"/>
            <w:kern w:val="0"/>
            <w:sz w:val="24"/>
            <w:szCs w:val="24"/>
            <w:u w:val="single"/>
            <w:lang w:eastAsia="es-UY"/>
            <w14:ligatures w14:val="none"/>
          </w:rPr>
          <w:t>restos mortales de San Francisco</w:t>
        </w:r>
      </w:hyperlink>
      <w:r w:rsidRPr="00AD5C78">
        <w:rPr>
          <w:rFonts w:ascii="Arial" w:eastAsia="Times New Roman" w:hAnsi="Arial" w:cs="Arial"/>
          <w:color w:val="666666"/>
          <w:kern w:val="0"/>
          <w:sz w:val="24"/>
          <w:szCs w:val="24"/>
          <w:lang w:eastAsia="es-UY"/>
          <w14:ligatures w14:val="none"/>
        </w:rPr>
        <w:t> para su veneración en un relicario. Esto representa una novedad que se aparta de la discreción habitual.</w:t>
      </w:r>
    </w:p>
    <w:p w14:paraId="18E7AC29"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En los primeros siglos, aparecieron los </w:t>
      </w:r>
      <w:r w:rsidRPr="00AD5C78">
        <w:rPr>
          <w:rFonts w:ascii="Arial" w:eastAsia="Times New Roman" w:hAnsi="Arial" w:cs="Arial"/>
          <w:b/>
          <w:bCs/>
          <w:color w:val="666666"/>
          <w:kern w:val="0"/>
          <w:sz w:val="24"/>
          <w:szCs w:val="24"/>
          <w:lang w:eastAsia="es-UY"/>
          <w14:ligatures w14:val="none"/>
        </w:rPr>
        <w:t>relicarios</w:t>
      </w:r>
      <w:r w:rsidRPr="00AD5C78">
        <w:rPr>
          <w:rFonts w:ascii="Arial" w:eastAsia="Times New Roman" w:hAnsi="Arial" w:cs="Arial"/>
          <w:color w:val="666666"/>
          <w:kern w:val="0"/>
          <w:sz w:val="24"/>
          <w:szCs w:val="24"/>
          <w:lang w:eastAsia="es-UY"/>
          <w14:ligatures w14:val="none"/>
        </w:rPr>
        <w:t> , en los que se exhibía un fragmento del cuerpo del santo. Lo que quedaba de la vida del santo era venerado. La historia de la </w:t>
      </w:r>
      <w:r w:rsidRPr="00AD5C78">
        <w:rPr>
          <w:rFonts w:ascii="Arial" w:eastAsia="Times New Roman" w:hAnsi="Arial" w:cs="Arial"/>
          <w:b/>
          <w:bCs/>
          <w:color w:val="666666"/>
          <w:kern w:val="0"/>
          <w:sz w:val="24"/>
          <w:szCs w:val="24"/>
          <w:lang w:eastAsia="es-UY"/>
          <w14:ligatures w14:val="none"/>
        </w:rPr>
        <w:t>custodia</w:t>
      </w:r>
      <w:r w:rsidRPr="00AD5C78">
        <w:rPr>
          <w:rFonts w:ascii="Arial" w:eastAsia="Times New Roman" w:hAnsi="Arial" w:cs="Arial"/>
          <w:color w:val="666666"/>
          <w:kern w:val="0"/>
          <w:sz w:val="24"/>
          <w:szCs w:val="24"/>
          <w:lang w:eastAsia="es-UY"/>
          <w14:ligatures w14:val="none"/>
        </w:rPr>
        <w:t> es diferente, pues surgió muchos siglos después y se reservaba para el pan consagrado. La hostia, sin embargo, es el cuerpo y la sangre del Señor vivo y presente. Dado que el relicario se originó muchos siglos antes que la custodia, es inevitable ver una analogía entre la veneración de la reliquia y la adoración del </w:t>
      </w:r>
      <w:r w:rsidRPr="00AD5C78">
        <w:rPr>
          <w:rFonts w:ascii="Arial" w:eastAsia="Times New Roman" w:hAnsi="Arial" w:cs="Arial"/>
          <w:b/>
          <w:bCs/>
          <w:i/>
          <w:iCs/>
          <w:color w:val="666666"/>
          <w:kern w:val="0"/>
          <w:sz w:val="24"/>
          <w:szCs w:val="24"/>
          <w:lang w:eastAsia="es-UY"/>
          <w14:ligatures w14:val="none"/>
        </w:rPr>
        <w:t>Corpus Christi</w:t>
      </w:r>
      <w:r w:rsidRPr="00AD5C78">
        <w:rPr>
          <w:rFonts w:ascii="Arial" w:eastAsia="Times New Roman" w:hAnsi="Arial" w:cs="Arial"/>
          <w:color w:val="666666"/>
          <w:kern w:val="0"/>
          <w:sz w:val="24"/>
          <w:szCs w:val="24"/>
          <w:lang w:eastAsia="es-UY"/>
          <w14:ligatures w14:val="none"/>
        </w:rPr>
        <w:t> . Los restos mortales del mártir permanecen, mientras que nada de los accidentes de Jesús queda, ni siquiera un cabello: la sustancia está presente, pero él permanece vivo a la diestra del Padre. La Iglesia permanece, como su cuerpo vivo.</w:t>
      </w:r>
    </w:p>
    <w:p w14:paraId="2600B6E3"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0AC47172"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t xml:space="preserve">Los restos del mártir son honrados por una razón mayor. Más recientemente, se ha vuelto común la práctica de exhibir el cuerpo entero, debidamente preparado. </w:t>
      </w:r>
      <w:proofErr w:type="gramStart"/>
      <w:r w:rsidRPr="00AD5C78">
        <w:rPr>
          <w:rFonts w:ascii="Arial" w:eastAsia="Times New Roman" w:hAnsi="Arial" w:cs="Arial"/>
          <w:b/>
          <w:bCs/>
          <w:i/>
          <w:iCs/>
          <w:color w:val="BF4E14" w:themeColor="accent2" w:themeShade="BF"/>
          <w:kern w:val="0"/>
          <w:sz w:val="24"/>
          <w:szCs w:val="24"/>
          <w:lang w:eastAsia="es-UY"/>
          <w14:ligatures w14:val="none"/>
        </w:rPr>
        <w:t>Nunca antes</w:t>
      </w:r>
      <w:proofErr w:type="gramEnd"/>
      <w:r w:rsidRPr="00AD5C78">
        <w:rPr>
          <w:rFonts w:ascii="Arial" w:eastAsia="Times New Roman" w:hAnsi="Arial" w:cs="Arial"/>
          <w:b/>
          <w:bCs/>
          <w:i/>
          <w:iCs/>
          <w:color w:val="BF4E14" w:themeColor="accent2" w:themeShade="BF"/>
          <w:kern w:val="0"/>
          <w:sz w:val="24"/>
          <w:szCs w:val="24"/>
          <w:lang w:eastAsia="es-UY"/>
          <w14:ligatures w14:val="none"/>
        </w:rPr>
        <w:t xml:space="preserve"> se habían expuesto los restos de San Francisco para su veneración en un relicario. Esto es algo nuevo, que se aparta de la discreción habitual. – Andrea Grillo</w:t>
      </w:r>
    </w:p>
    <w:p w14:paraId="2D40E002" w14:textId="6D168E02" w:rsidR="00AD5C78" w:rsidRPr="00AD5C78" w:rsidRDefault="00AD5C78" w:rsidP="00AD5C78">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2CDE6C0B"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En ambos casos, sin embargo, se trata de actos intermedios: la reliquia del cuerpo remite a la vida del mártir y del santo. El </w:t>
      </w:r>
      <w:hyperlink r:id="rId11" w:tgtFrame="_blank" w:history="1">
        <w:r w:rsidRPr="00AD5C78">
          <w:rPr>
            <w:rFonts w:ascii="Arial" w:eastAsia="Times New Roman" w:hAnsi="Arial" w:cs="Arial"/>
            <w:color w:val="FC6B01"/>
            <w:kern w:val="0"/>
            <w:sz w:val="24"/>
            <w:szCs w:val="24"/>
            <w:u w:val="single"/>
            <w:lang w:eastAsia="es-UY"/>
            <w14:ligatures w14:val="none"/>
          </w:rPr>
          <w:t>pan consagrado</w:t>
        </w:r>
      </w:hyperlink>
      <w:r w:rsidRPr="00AD5C78">
        <w:rPr>
          <w:rFonts w:ascii="Arial" w:eastAsia="Times New Roman" w:hAnsi="Arial" w:cs="Arial"/>
          <w:color w:val="666666"/>
          <w:kern w:val="0"/>
          <w:sz w:val="24"/>
          <w:szCs w:val="24"/>
          <w:lang w:eastAsia="es-UY"/>
          <w14:ligatures w14:val="none"/>
        </w:rPr>
        <w:t> , como cuerpo sacramental de </w:t>
      </w:r>
      <w:r w:rsidRPr="00AD5C78">
        <w:rPr>
          <w:rFonts w:ascii="Arial" w:eastAsia="Times New Roman" w:hAnsi="Arial" w:cs="Arial"/>
          <w:b/>
          <w:bCs/>
          <w:color w:val="666666"/>
          <w:kern w:val="0"/>
          <w:sz w:val="24"/>
          <w:szCs w:val="24"/>
          <w:lang w:eastAsia="es-UY"/>
          <w14:ligatures w14:val="none"/>
        </w:rPr>
        <w:t>Cristo</w:t>
      </w:r>
      <w:r w:rsidRPr="00AD5C78">
        <w:rPr>
          <w:rFonts w:ascii="Arial" w:eastAsia="Times New Roman" w:hAnsi="Arial" w:cs="Arial"/>
          <w:color w:val="666666"/>
          <w:kern w:val="0"/>
          <w:sz w:val="24"/>
          <w:szCs w:val="24"/>
          <w:lang w:eastAsia="es-UY"/>
          <w14:ligatures w14:val="none"/>
        </w:rPr>
        <w:t> , remite al cuerpo eclesial de Cristo. La comunión de los santos y la comunión eucarística constituyen el centro de la experiencia, el corazón vivo del acto de veneración y adoración.</w:t>
      </w:r>
    </w:p>
    <w:p w14:paraId="2679E5FD"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6BE3A820"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 « </w:t>
      </w:r>
      <w:r w:rsidRPr="00AD5C78">
        <w:rPr>
          <w:rFonts w:ascii="Arial" w:eastAsia="Times New Roman" w:hAnsi="Arial" w:cs="Arial"/>
          <w:b/>
          <w:bCs/>
          <w:color w:val="666666"/>
          <w:kern w:val="0"/>
          <w:sz w:val="24"/>
          <w:szCs w:val="24"/>
          <w:lang w:eastAsia="es-UY"/>
          <w14:ligatures w14:val="none"/>
        </w:rPr>
        <w:t>imitación</w:t>
      </w:r>
      <w:r w:rsidRPr="00AD5C78">
        <w:rPr>
          <w:rFonts w:ascii="Arial" w:eastAsia="Times New Roman" w:hAnsi="Arial" w:cs="Arial"/>
          <w:color w:val="666666"/>
          <w:kern w:val="0"/>
          <w:sz w:val="24"/>
          <w:szCs w:val="24"/>
          <w:lang w:eastAsia="es-UY"/>
          <w14:ligatures w14:val="none"/>
        </w:rPr>
        <w:t> » del relicario por parte del extensor eucarístico, sin embargo, requiere un discernimiento fundamental: es evidente que existe una analogía muy frágil entre la reliquia del santo y las especies eucarísticas. La </w:t>
      </w:r>
      <w:r w:rsidRPr="00AD5C78">
        <w:rPr>
          <w:rFonts w:ascii="Arial" w:eastAsia="Times New Roman" w:hAnsi="Arial" w:cs="Arial"/>
          <w:b/>
          <w:bCs/>
          <w:color w:val="666666"/>
          <w:kern w:val="0"/>
          <w:sz w:val="24"/>
          <w:szCs w:val="24"/>
          <w:lang w:eastAsia="es-UY"/>
          <w14:ligatures w14:val="none"/>
        </w:rPr>
        <w:t>reliquia</w:t>
      </w:r>
      <w:r w:rsidRPr="00AD5C78">
        <w:rPr>
          <w:rFonts w:ascii="Arial" w:eastAsia="Times New Roman" w:hAnsi="Arial" w:cs="Arial"/>
          <w:color w:val="666666"/>
          <w:kern w:val="0"/>
          <w:sz w:val="24"/>
          <w:szCs w:val="24"/>
          <w:lang w:eastAsia="es-UY"/>
          <w14:ligatures w14:val="none"/>
        </w:rPr>
        <w:t> remite directamente al cuerpo: es parte del cuerpo mortal que el mártir o santo vivió en su testimonio de fe. Es el cuerpo mortal el que remite a la vida de gracia. Las especies de pan, en cambio, no remiten tanto directamente al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 sino al acto de comunión realizado con el pan. Esta diferencia es dimensional y genera posibles interferencias. La reliquia está destinada a «permanecer» y ser «conservada», mientras que las especies están destinadas a «pasar» y ser «consumidas».</w:t>
      </w:r>
    </w:p>
    <w:p w14:paraId="1027CB68"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17B5D46E"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2. El tabernáculo eucarístico y el sagrario</w:t>
      </w:r>
    </w:p>
    <w:p w14:paraId="35A33CBB"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lastRenderedPageBreak/>
        <w:t>Sin embargo, no se puede negar que las especies </w:t>
      </w:r>
      <w:r w:rsidRPr="00AD5C78">
        <w:rPr>
          <w:rFonts w:ascii="Arial" w:eastAsia="Times New Roman" w:hAnsi="Arial" w:cs="Arial"/>
          <w:b/>
          <w:bCs/>
          <w:color w:val="666666"/>
          <w:kern w:val="0"/>
          <w:sz w:val="24"/>
          <w:szCs w:val="24"/>
          <w:lang w:eastAsia="es-UY"/>
          <w14:ligatures w14:val="none"/>
        </w:rPr>
        <w:t>eucarísticas</w:t>
      </w:r>
      <w:r w:rsidRPr="00AD5C78">
        <w:rPr>
          <w:rFonts w:ascii="Arial" w:eastAsia="Times New Roman" w:hAnsi="Arial" w:cs="Arial"/>
          <w:color w:val="666666"/>
          <w:kern w:val="0"/>
          <w:sz w:val="24"/>
          <w:szCs w:val="24"/>
          <w:lang w:eastAsia="es-UY"/>
          <w14:ligatures w14:val="none"/>
        </w:rPr>
        <w:t> también cumplen una función de custodia, como las reliquias. Esta es una forma secundaria en comparación con su uso principal. Las especies eucarísticas están destinadas al consumo, no a la conservación. No obstante, especialmente para los enfermos, la administración de la Eucaristía está documentada como una práctica muy antigua. Aun así, durante al menos un milenio, fue una mera custodia y reserva que no tuvo un papel central, y mucho menos de exhibición.</w:t>
      </w:r>
    </w:p>
    <w:p w14:paraId="525D9152"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Con el segundo milenio, especialmente después de las primeras controversias eucarísticas, la fe en la presencia del Señor en el pan y el cáliz de la comunión condujo a una renovada apreciación de la "elevación" durante la Misa, la "adoración" del pan consagrado e incluso la invención de las "custodias", construidas en forma de "relicarios", pero destinadas no a reliquias, sino a partículas consagradas.</w:t>
      </w:r>
    </w:p>
    <w:p w14:paraId="6A9CEA40"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t>La comunión de los santos y la comunión eucarística son el centro de la experiencia, el corazón vivo del acto de veneración y adoración. - Andrea Grillo</w:t>
      </w:r>
    </w:p>
    <w:p w14:paraId="20D395EF" w14:textId="61B30230" w:rsidR="00AD5C78" w:rsidRPr="00AD5C78" w:rsidRDefault="00AD5C78" w:rsidP="00AD5C78">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02BAEE3"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 culminación de esta interpretación se encuentra tras la mayor controversia eucarística, la que enfrentó al </w:t>
      </w:r>
      <w:r w:rsidRPr="00AD5C78">
        <w:rPr>
          <w:rFonts w:ascii="Arial" w:eastAsia="Times New Roman" w:hAnsi="Arial" w:cs="Arial"/>
          <w:b/>
          <w:bCs/>
          <w:color w:val="666666"/>
          <w:kern w:val="0"/>
          <w:sz w:val="24"/>
          <w:szCs w:val="24"/>
          <w:lang w:eastAsia="es-UY"/>
          <w14:ligatures w14:val="none"/>
        </w:rPr>
        <w:t>protestantismo</w:t>
      </w:r>
      <w:r w:rsidRPr="00AD5C78">
        <w:rPr>
          <w:rFonts w:ascii="Arial" w:eastAsia="Times New Roman" w:hAnsi="Arial" w:cs="Arial"/>
          <w:color w:val="666666"/>
          <w:kern w:val="0"/>
          <w:sz w:val="24"/>
          <w:szCs w:val="24"/>
          <w:lang w:eastAsia="es-UY"/>
          <w14:ligatures w14:val="none"/>
        </w:rPr>
        <w:t> y </w:t>
      </w:r>
      <w:r w:rsidRPr="00AD5C78">
        <w:rPr>
          <w:rFonts w:ascii="Arial" w:eastAsia="Times New Roman" w:hAnsi="Arial" w:cs="Arial"/>
          <w:b/>
          <w:bCs/>
          <w:color w:val="666666"/>
          <w:kern w:val="0"/>
          <w:sz w:val="24"/>
          <w:szCs w:val="24"/>
          <w:lang w:eastAsia="es-UY"/>
          <w14:ligatures w14:val="none"/>
        </w:rPr>
        <w:t>al catolicismo</w:t>
      </w:r>
      <w:r w:rsidRPr="00AD5C78">
        <w:rPr>
          <w:rFonts w:ascii="Arial" w:eastAsia="Times New Roman" w:hAnsi="Arial" w:cs="Arial"/>
          <w:color w:val="666666"/>
          <w:kern w:val="0"/>
          <w:sz w:val="24"/>
          <w:szCs w:val="24"/>
          <w:lang w:eastAsia="es-UY"/>
          <w14:ligatures w14:val="none"/>
        </w:rPr>
        <w:t> , la cual provocó dos profundos cambios en las prácticas de veneración y culto. En ambos casos, de hecho, la brecha entre las iglesias evangélicas y la Iglesia católica se había ampliado significativamente desde la segunda mitad del siglo XVI. Dos documentos resultan ejemplares desde esta perspectiva.</w:t>
      </w:r>
    </w:p>
    <w:p w14:paraId="4775418D"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56E13C17"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Por un lado, el texto de la XXV Sesión del </w:t>
      </w:r>
      <w:hyperlink r:id="rId12" w:tgtFrame="_blank" w:history="1">
        <w:r w:rsidRPr="00AD5C78">
          <w:rPr>
            <w:rFonts w:ascii="Arial" w:eastAsia="Times New Roman" w:hAnsi="Arial" w:cs="Arial"/>
            <w:color w:val="FC6B01"/>
            <w:kern w:val="0"/>
            <w:sz w:val="24"/>
            <w:szCs w:val="24"/>
            <w:u w:val="single"/>
            <w:lang w:eastAsia="es-UY"/>
            <w14:ligatures w14:val="none"/>
          </w:rPr>
          <w:t>Concilio de Trento</w:t>
        </w:r>
      </w:hyperlink>
      <w:r w:rsidRPr="00AD5C78">
        <w:rPr>
          <w:rFonts w:ascii="Arial" w:eastAsia="Times New Roman" w:hAnsi="Arial" w:cs="Arial"/>
          <w:color w:val="666666"/>
          <w:kern w:val="0"/>
          <w:sz w:val="24"/>
          <w:szCs w:val="24"/>
          <w:lang w:eastAsia="es-UY"/>
          <w14:ligatures w14:val="none"/>
        </w:rPr>
        <w:t> (1563): </w:t>
      </w:r>
      <w:r w:rsidRPr="00AD5C78">
        <w:rPr>
          <w:rFonts w:ascii="Arial" w:eastAsia="Times New Roman" w:hAnsi="Arial" w:cs="Arial"/>
          <w:i/>
          <w:iCs/>
          <w:color w:val="666666"/>
          <w:kern w:val="0"/>
          <w:sz w:val="24"/>
          <w:szCs w:val="24"/>
          <w:lang w:eastAsia="es-UY"/>
          <w14:ligatures w14:val="none"/>
        </w:rPr>
        <w:t>Sobre la invocación, veneración y reliquias de santos e imágenes sagradas</w:t>
      </w:r>
      <w:r w:rsidRPr="00AD5C78">
        <w:rPr>
          <w:rFonts w:ascii="Arial" w:eastAsia="Times New Roman" w:hAnsi="Arial" w:cs="Arial"/>
          <w:color w:val="666666"/>
          <w:kern w:val="0"/>
          <w:sz w:val="24"/>
          <w:szCs w:val="24"/>
          <w:lang w:eastAsia="es-UY"/>
          <w14:ligatures w14:val="none"/>
        </w:rPr>
        <w:t> . Por otro lado, el texto de </w:t>
      </w:r>
      <w:hyperlink r:id="rId13" w:tgtFrame="_blank" w:history="1">
        <w:r w:rsidRPr="00AD5C78">
          <w:rPr>
            <w:rFonts w:ascii="Arial" w:eastAsia="Times New Roman" w:hAnsi="Arial" w:cs="Arial"/>
            <w:color w:val="FC6B01"/>
            <w:kern w:val="0"/>
            <w:sz w:val="24"/>
            <w:szCs w:val="24"/>
            <w:u w:val="single"/>
            <w:lang w:eastAsia="es-UY"/>
            <w14:ligatures w14:val="none"/>
          </w:rPr>
          <w:t>Carlo Borromeo</w:t>
        </w:r>
      </w:hyperlink>
      <w:r w:rsidRPr="00AD5C78">
        <w:rPr>
          <w:rFonts w:ascii="Arial" w:eastAsia="Times New Roman" w:hAnsi="Arial" w:cs="Arial"/>
          <w:color w:val="666666"/>
          <w:kern w:val="0"/>
          <w:sz w:val="24"/>
          <w:szCs w:val="24"/>
          <w:lang w:eastAsia="es-UY"/>
          <w14:ligatures w14:val="none"/>
        </w:rPr>
        <w:t> , de 1577, sobre la construcción de iglesias: </w:t>
      </w:r>
      <w:r w:rsidRPr="00AD5C78">
        <w:rPr>
          <w:rFonts w:ascii="Arial" w:eastAsia="Times New Roman" w:hAnsi="Arial" w:cs="Arial"/>
          <w:i/>
          <w:iCs/>
          <w:color w:val="666666"/>
          <w:kern w:val="0"/>
          <w:sz w:val="24"/>
          <w:szCs w:val="24"/>
          <w:lang w:eastAsia="es-UY"/>
          <w14:ligatures w14:val="none"/>
        </w:rPr>
        <w:t>Instrucciones sobre la construcción y el mobiliario eclesiástico</w:t>
      </w:r>
      <w:r w:rsidRPr="00AD5C78">
        <w:rPr>
          <w:rFonts w:ascii="Arial" w:eastAsia="Times New Roman" w:hAnsi="Arial" w:cs="Arial"/>
          <w:color w:val="666666"/>
          <w:kern w:val="0"/>
          <w:sz w:val="24"/>
          <w:szCs w:val="24"/>
          <w:lang w:eastAsia="es-UY"/>
          <w14:ligatures w14:val="none"/>
        </w:rPr>
        <w:t> .</w:t>
      </w:r>
    </w:p>
    <w:p w14:paraId="2C2C75B2"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19CB217D"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Si bien la veneración (con intercesión y veneración de imágenes) ve confirmada su legítima centralidad, la adoración del </w:t>
      </w:r>
      <w:r w:rsidRPr="00AD5C78">
        <w:rPr>
          <w:rFonts w:ascii="Arial" w:eastAsia="Times New Roman" w:hAnsi="Arial" w:cs="Arial"/>
          <w:b/>
          <w:bCs/>
          <w:color w:val="666666"/>
          <w:kern w:val="0"/>
          <w:sz w:val="24"/>
          <w:szCs w:val="24"/>
          <w:lang w:eastAsia="es-UY"/>
          <w14:ligatures w14:val="none"/>
        </w:rPr>
        <w:t>Santísimo Sacramento</w:t>
      </w:r>
      <w:r w:rsidRPr="00AD5C78">
        <w:rPr>
          <w:rFonts w:ascii="Arial" w:eastAsia="Times New Roman" w:hAnsi="Arial" w:cs="Arial"/>
          <w:color w:val="666666"/>
          <w:kern w:val="0"/>
          <w:sz w:val="24"/>
          <w:szCs w:val="24"/>
          <w:lang w:eastAsia="es-UY"/>
          <w14:ligatures w14:val="none"/>
        </w:rPr>
        <w:t> adquiere una "centralidad espacial" completamente nueva. A partir del texto de </w:t>
      </w:r>
      <w:r w:rsidRPr="00AD5C78">
        <w:rPr>
          <w:rFonts w:ascii="Arial" w:eastAsia="Times New Roman" w:hAnsi="Arial" w:cs="Arial"/>
          <w:b/>
          <w:bCs/>
          <w:color w:val="666666"/>
          <w:kern w:val="0"/>
          <w:sz w:val="24"/>
          <w:szCs w:val="24"/>
          <w:lang w:eastAsia="es-UY"/>
          <w14:ligatures w14:val="none"/>
        </w:rPr>
        <w:t>Carlos Borromeo</w:t>
      </w:r>
      <w:r w:rsidRPr="00AD5C78">
        <w:rPr>
          <w:rFonts w:ascii="Arial" w:eastAsia="Times New Roman" w:hAnsi="Arial" w:cs="Arial"/>
          <w:color w:val="666666"/>
          <w:kern w:val="0"/>
          <w:sz w:val="24"/>
          <w:szCs w:val="24"/>
          <w:lang w:eastAsia="es-UY"/>
          <w14:ligatures w14:val="none"/>
        </w:rPr>
        <w:t> , cuya influencia se extendió por toda Europa, surgió una forma de construir iglesias en la que el sagrario, durante 400 años, se posicionó como el "centro" del edificio y un centro ampliado (en cierto modo forzado), incluso en relación con la propia acción litúrgica.</w:t>
      </w:r>
    </w:p>
    <w:p w14:paraId="1DC369EC"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20D077CD"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t>Las reliquias están destinadas a "permanecer" y ser "conservadas", mientras que las especies están destinadas a "desaparecer" y ser "consumidas" - Andrea Grillo</w:t>
      </w:r>
    </w:p>
    <w:p w14:paraId="7890C092" w14:textId="6CC355D4" w:rsidR="00AD5C78" w:rsidRPr="00AD5C78" w:rsidRDefault="00AD5C78" w:rsidP="00AD5C78">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4389DB8"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3. Discernimiento respecto a la manera de presencia</w:t>
      </w:r>
    </w:p>
    <w:p w14:paraId="6B077F45"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En las últimas décadas, hemos aprendido a ser cautelosos con el "tabernáculo", colocado en el altar mayor desde el siglo XVI. Hoy en día, las normas desaconsejan explícitamente la solución propuesta por </w:t>
      </w:r>
      <w:r w:rsidRPr="00AD5C78">
        <w:rPr>
          <w:rFonts w:ascii="Arial" w:eastAsia="Times New Roman" w:hAnsi="Arial" w:cs="Arial"/>
          <w:b/>
          <w:bCs/>
          <w:color w:val="666666"/>
          <w:kern w:val="0"/>
          <w:sz w:val="24"/>
          <w:szCs w:val="24"/>
          <w:lang w:eastAsia="es-UY"/>
          <w14:ligatures w14:val="none"/>
        </w:rPr>
        <w:t>Carlos Borromeo</w:t>
      </w:r>
      <w:r w:rsidRPr="00AD5C78">
        <w:rPr>
          <w:rFonts w:ascii="Arial" w:eastAsia="Times New Roman" w:hAnsi="Arial" w:cs="Arial"/>
          <w:color w:val="666666"/>
          <w:kern w:val="0"/>
          <w:sz w:val="24"/>
          <w:szCs w:val="24"/>
          <w:lang w:eastAsia="es-UY"/>
          <w14:ligatures w14:val="none"/>
        </w:rPr>
        <w:t> , cuando afirmó en su texto de 1577:</w:t>
      </w:r>
    </w:p>
    <w:p w14:paraId="227C8922"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19AA7BB2"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"Dado que, por decreto provincial, el sagrario del Santísimo Sacramento debe colocarse en el altar mayor..."</w:t>
      </w:r>
    </w:p>
    <w:p w14:paraId="55665080"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3C58186E"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lastRenderedPageBreak/>
        <w:t>En cambio, el texto de la </w:t>
      </w:r>
      <w:r w:rsidRPr="00AD5C78">
        <w:rPr>
          <w:rFonts w:ascii="Arial" w:eastAsia="Times New Roman" w:hAnsi="Arial" w:cs="Arial"/>
          <w:b/>
          <w:bCs/>
          <w:color w:val="666666"/>
          <w:kern w:val="0"/>
          <w:sz w:val="24"/>
          <w:szCs w:val="24"/>
          <w:lang w:eastAsia="es-UY"/>
          <w14:ligatures w14:val="none"/>
        </w:rPr>
        <w:t>Nota Pastoral de la CEI sobre la Adaptación de las Iglesias según la Reforma Litúrgica</w:t>
      </w:r>
      <w:r w:rsidRPr="00AD5C78">
        <w:rPr>
          <w:rFonts w:ascii="Arial" w:eastAsia="Times New Roman" w:hAnsi="Arial" w:cs="Arial"/>
          <w:color w:val="666666"/>
          <w:kern w:val="0"/>
          <w:sz w:val="24"/>
          <w:szCs w:val="24"/>
          <w:lang w:eastAsia="es-UY"/>
          <w14:ligatures w14:val="none"/>
        </w:rPr>
        <w:t> , de 1996, afirma, tomando como indicación la </w:t>
      </w:r>
      <w:r w:rsidRPr="00AD5C78">
        <w:rPr>
          <w:rFonts w:ascii="Arial" w:eastAsia="Times New Roman" w:hAnsi="Arial" w:cs="Arial"/>
          <w:b/>
          <w:bCs/>
          <w:color w:val="666666"/>
          <w:kern w:val="0"/>
          <w:sz w:val="24"/>
          <w:szCs w:val="24"/>
          <w:lang w:eastAsia="es-UY"/>
          <w14:ligatures w14:val="none"/>
        </w:rPr>
        <w:t>IGMR</w:t>
      </w:r>
      <w:r w:rsidRPr="00AD5C78">
        <w:rPr>
          <w:rFonts w:ascii="Arial" w:eastAsia="Times New Roman" w:hAnsi="Arial" w:cs="Arial"/>
          <w:color w:val="666666"/>
          <w:kern w:val="0"/>
          <w:sz w:val="24"/>
          <w:szCs w:val="24"/>
          <w:lang w:eastAsia="es-UY"/>
          <w14:ligatures w14:val="none"/>
        </w:rPr>
        <w:t> de 1970:</w:t>
      </w:r>
    </w:p>
    <w:p w14:paraId="7D31F4B2"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1AAE19B7"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El altar para la celebración no puede albergar el </w:t>
      </w:r>
      <w:r w:rsidRPr="00AD5C78">
        <w:rPr>
          <w:rFonts w:ascii="Arial" w:eastAsia="Times New Roman" w:hAnsi="Arial" w:cs="Arial"/>
          <w:b/>
          <w:bCs/>
          <w:color w:val="666666"/>
          <w:kern w:val="0"/>
          <w:sz w:val="24"/>
          <w:szCs w:val="24"/>
          <w:lang w:eastAsia="es-UY"/>
          <w14:ligatures w14:val="none"/>
        </w:rPr>
        <w:t>sagrario eucarístico</w:t>
      </w:r>
      <w:r w:rsidRPr="00AD5C78">
        <w:rPr>
          <w:rFonts w:ascii="Arial" w:eastAsia="Times New Roman" w:hAnsi="Arial" w:cs="Arial"/>
          <w:color w:val="666666"/>
          <w:kern w:val="0"/>
          <w:sz w:val="24"/>
          <w:szCs w:val="24"/>
          <w:lang w:eastAsia="es-UY"/>
          <w14:ligatures w14:val="none"/>
        </w:rPr>
        <w:t> ... La solución más recomendable para la reserva eucarística es una capilla dedicada, fácilmente identificable y accesible, muy digna y apropiada para la oración y la adoración. El sagrario se guardará allí, pero nunca deberá colocarse sobre una mesa de altar, sino apoyado contra una pared, sobre una columna o sobre una repisa.</w:t>
      </w:r>
    </w:p>
    <w:p w14:paraId="16763B39"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241D4E95"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Las razones litúrgicas, así como las teológicas, se basan al menos en dos motivos principales:</w:t>
      </w:r>
    </w:p>
    <w:p w14:paraId="135C8073"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a) una presencia que no es “como en un lugar”</w:t>
      </w:r>
    </w:p>
    <w:p w14:paraId="5EB878D8"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Dado que las especies eucarísticas no son una reliquia, sino el sacramento del Cuerpo de Cristo, que encuentra su verdad última en el rito de la comunión, una comprensión «local» del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sigue siendo problemática. La respuesta de </w:t>
      </w:r>
      <w:hyperlink r:id="rId14" w:tgtFrame="_blank" w:history="1">
        <w:r w:rsidRPr="00AD5C78">
          <w:rPr>
            <w:rFonts w:ascii="Arial" w:eastAsia="Times New Roman" w:hAnsi="Arial" w:cs="Arial"/>
            <w:color w:val="FC6B01"/>
            <w:kern w:val="0"/>
            <w:sz w:val="24"/>
            <w:szCs w:val="24"/>
            <w:u w:val="single"/>
            <w:lang w:eastAsia="es-UY"/>
            <w14:ligatures w14:val="none"/>
          </w:rPr>
          <w:t>Tomás de Aquino</w:t>
        </w:r>
      </w:hyperlink>
      <w:r w:rsidRPr="00AD5C78">
        <w:rPr>
          <w:rFonts w:ascii="Arial" w:eastAsia="Times New Roman" w:hAnsi="Arial" w:cs="Arial"/>
          <w:color w:val="666666"/>
          <w:kern w:val="0"/>
          <w:sz w:val="24"/>
          <w:szCs w:val="24"/>
          <w:lang w:eastAsia="es-UY"/>
          <w14:ligatures w14:val="none"/>
        </w:rPr>
        <w:t> a la pregunta «si el Cuerpo de Cristo está presente como en un lugar» ( </w:t>
      </w:r>
      <w:proofErr w:type="spellStart"/>
      <w:r w:rsidRPr="00AD5C78">
        <w:rPr>
          <w:rFonts w:ascii="Arial" w:eastAsia="Times New Roman" w:hAnsi="Arial" w:cs="Arial"/>
          <w:i/>
          <w:iCs/>
          <w:color w:val="666666"/>
          <w:kern w:val="0"/>
          <w:sz w:val="24"/>
          <w:szCs w:val="24"/>
          <w:lang w:eastAsia="es-UY"/>
          <w14:ligatures w14:val="none"/>
        </w:rPr>
        <w:t>sicut</w:t>
      </w:r>
      <w:proofErr w:type="spellEnd"/>
      <w:r w:rsidRPr="00AD5C78">
        <w:rPr>
          <w:rFonts w:ascii="Arial" w:eastAsia="Times New Roman" w:hAnsi="Arial" w:cs="Arial"/>
          <w:i/>
          <w:iCs/>
          <w:color w:val="666666"/>
          <w:kern w:val="0"/>
          <w:sz w:val="24"/>
          <w:szCs w:val="24"/>
          <w:lang w:eastAsia="es-UY"/>
          <w14:ligatures w14:val="none"/>
        </w:rPr>
        <w:t xml:space="preserve"> in loco</w:t>
      </w:r>
      <w:r w:rsidRPr="00AD5C78">
        <w:rPr>
          <w:rFonts w:ascii="Arial" w:eastAsia="Times New Roman" w:hAnsi="Arial" w:cs="Arial"/>
          <w:color w:val="666666"/>
          <w:kern w:val="0"/>
          <w:sz w:val="24"/>
          <w:szCs w:val="24"/>
          <w:lang w:eastAsia="es-UY"/>
          <w14:ligatures w14:val="none"/>
        </w:rPr>
        <w:t> ) es ejemplar. He aquí su respuesta:</w:t>
      </w:r>
    </w:p>
    <w:p w14:paraId="6600D1BB"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 como ya se ha dicho, no está en este sacramento como una cantidad extendida, sino más bien como una sustancia. Ahora bien, todo cuerpo ubicado está en un lugar como una cantidad extendida, es decir, midiendo sus propias dimensiones en relación con él. Se sigue, por lo tanto, que el cuerpo de Cristo está en este sacramento no como en un lugar, sino como una sustancia: es decir, de la manera en que una sustancia puede ser contenida por dimensiones. Porque en este sacramento la sustancia del cuerpo de Cristo ocupa el lugar de la sustancia del pan. Y por lo tanto, así como la sustancia del pan no estaba localmente, sino sustancialmente bajo sus propias dimensiones, así también lo estaba la sustancia del cuerpo de Cristo. Esta última, sin embargo, no es el sujeto de estas dimensiones, como lo era la sustancia del pan. Por lo tanto, el pan estaba presente allí localmente en virtud de sus propias dimensiones: ya que estaba referido a ese espacio por medio de sus propias dimensiones. Por otra parte, la sustancia del cuerpo de Cristo está referida a ese espacio por medio de dimensiones que no son las suyas: de hecho, las dimensiones propias del cuerpo de Cristo son las dimensiones del pan. Cristo es referido a ese espacio por medio de la sustancia. Y esto contradice la naturaleza de la ubicación de un cuerpo. Por lo tanto, el cuerpo de Cristo no está en este sacramento como en un lugar.</w:t>
      </w:r>
    </w:p>
    <w:p w14:paraId="0A6B60DD"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487AD5EA"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 ubicación del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 a través de la custodia y el sagrario, presenta una asimilación a la lógica local de la reliquia que plantea un problema de experiencia: si la adoración degenera en veneración, la identidad misma del misterio se reduce y se transforma, con cierto riesgo de malentendidos y confusión.</w:t>
      </w:r>
    </w:p>
    <w:p w14:paraId="5C4B3447"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2B6D49D3"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 presencia del Cuerpo de Cristo no es local, sino sustancial, afirma </w:t>
      </w:r>
      <w:r w:rsidRPr="00AD5C78">
        <w:rPr>
          <w:rFonts w:ascii="Arial" w:eastAsia="Times New Roman" w:hAnsi="Arial" w:cs="Arial"/>
          <w:b/>
          <w:bCs/>
          <w:color w:val="666666"/>
          <w:kern w:val="0"/>
          <w:sz w:val="24"/>
          <w:szCs w:val="24"/>
          <w:lang w:eastAsia="es-UY"/>
          <w14:ligatures w14:val="none"/>
        </w:rPr>
        <w:t>Tomás de Aquino</w:t>
      </w:r>
      <w:r w:rsidRPr="00AD5C78">
        <w:rPr>
          <w:rFonts w:ascii="Arial" w:eastAsia="Times New Roman" w:hAnsi="Arial" w:cs="Arial"/>
          <w:color w:val="666666"/>
          <w:kern w:val="0"/>
          <w:sz w:val="24"/>
          <w:szCs w:val="24"/>
          <w:lang w:eastAsia="es-UY"/>
          <w14:ligatures w14:val="none"/>
        </w:rPr>
        <w:t> . Esta diferencia radica en la distinción entre una reliquia y el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 entre veneración y adoración.</w:t>
      </w:r>
    </w:p>
    <w:p w14:paraId="3968E17B"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1AB5F900"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lastRenderedPageBreak/>
        <w:t>Dado que las especies eucarísticas no son una reliquia, sino el sacramento del Cuerpo de Cristo, que encuentra su verdad última en el rito de la comunión, una comprensión "local" del Cuerpo de Cristo sigue siendo problemática. - Andrea Grillo</w:t>
      </w:r>
    </w:p>
    <w:p w14:paraId="521E2434" w14:textId="079EEC20" w:rsidR="00AD5C78" w:rsidRPr="00AD5C78" w:rsidRDefault="00AD5C78" w:rsidP="00AD5C78">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95FC95D"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b) la primacía de los tabernáculos vivientes</w:t>
      </w:r>
    </w:p>
    <w:p w14:paraId="1ABCD2E6"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La institucionalización del « </w:t>
      </w:r>
      <w:r w:rsidRPr="00AD5C78">
        <w:rPr>
          <w:rFonts w:ascii="Arial" w:eastAsia="Times New Roman" w:hAnsi="Arial" w:cs="Arial"/>
          <w:b/>
          <w:bCs/>
          <w:color w:val="666666"/>
          <w:kern w:val="0"/>
          <w:sz w:val="24"/>
          <w:szCs w:val="24"/>
          <w:lang w:eastAsia="es-UY"/>
          <w14:ligatures w14:val="none"/>
        </w:rPr>
        <w:t>tabernáculo</w:t>
      </w:r>
      <w:r w:rsidRPr="00AD5C78">
        <w:rPr>
          <w:rFonts w:ascii="Arial" w:eastAsia="Times New Roman" w:hAnsi="Arial" w:cs="Arial"/>
          <w:color w:val="666666"/>
          <w:kern w:val="0"/>
          <w:sz w:val="24"/>
          <w:szCs w:val="24"/>
          <w:lang w:eastAsia="es-UY"/>
          <w14:ligatures w14:val="none"/>
        </w:rPr>
        <w:t> » como la forma preeminente de la presencia de Cristo tiende a oscurecer la primacía de los tabernáculos vivientes, de los cuales la celebración eucarística es la forma más elevada. Esta perplejidad fue confirmada por una relectura de la teología eucarística, también adoptada por el joven </w:t>
      </w:r>
      <w:hyperlink r:id="rId15" w:tgtFrame="_blank" w:history="1">
        <w:r w:rsidRPr="00AD5C78">
          <w:rPr>
            <w:rFonts w:ascii="Arial" w:eastAsia="Times New Roman" w:hAnsi="Arial" w:cs="Arial"/>
            <w:color w:val="FC6B01"/>
            <w:kern w:val="0"/>
            <w:sz w:val="24"/>
            <w:szCs w:val="24"/>
            <w:u w:val="single"/>
            <w:lang w:eastAsia="es-UY"/>
            <w14:ligatures w14:val="none"/>
          </w:rPr>
          <w:t>Joseph Ratzinger</w:t>
        </w:r>
      </w:hyperlink>
      <w:r w:rsidRPr="00AD5C78">
        <w:rPr>
          <w:rFonts w:ascii="Arial" w:eastAsia="Times New Roman" w:hAnsi="Arial" w:cs="Arial"/>
          <w:color w:val="666666"/>
          <w:kern w:val="0"/>
          <w:sz w:val="24"/>
          <w:szCs w:val="24"/>
          <w:lang w:eastAsia="es-UY"/>
          <w14:ligatures w14:val="none"/>
        </w:rPr>
        <w:t> , cuando, en un ensayo de 1961 (Ideas fundamentales de la renovación eucarística del siglo XX – </w:t>
      </w:r>
      <w:r w:rsidRPr="00AD5C78">
        <w:rPr>
          <w:rFonts w:ascii="Arial" w:eastAsia="Times New Roman" w:hAnsi="Arial" w:cs="Arial"/>
          <w:i/>
          <w:iCs/>
          <w:color w:val="666666"/>
          <w:kern w:val="0"/>
          <w:sz w:val="24"/>
          <w:szCs w:val="24"/>
          <w:lang w:eastAsia="es-UY"/>
          <w14:ligatures w14:val="none"/>
        </w:rPr>
        <w:t>Opera Omnia</w:t>
      </w:r>
      <w:r w:rsidRPr="00AD5C78">
        <w:rPr>
          <w:rFonts w:ascii="Arial" w:eastAsia="Times New Roman" w:hAnsi="Arial" w:cs="Arial"/>
          <w:color w:val="666666"/>
          <w:kern w:val="0"/>
          <w:sz w:val="24"/>
          <w:szCs w:val="24"/>
          <w:lang w:eastAsia="es-UY"/>
          <w14:ligatures w14:val="none"/>
        </w:rPr>
        <w:t> , VII/1, 21-32), escribió:</w:t>
      </w:r>
    </w:p>
    <w:p w14:paraId="58F37A6D"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«Cuando hoy empezamos a diseñar una iglesia, en cierto sentido la concebimos en torno a un centro distinto, partiendo de una perspectiva diferente a la de la época de nuestros padres y abuelos» (21). «La forma renovada de nuestros edificios sagrados refleja esa gran renovación espiritual en la comprensión de la Eucaristía que comenzó con </w:t>
      </w:r>
      <w:hyperlink r:id="rId16" w:tgtFrame="_blank" w:history="1">
        <w:r w:rsidRPr="00AD5C78">
          <w:rPr>
            <w:rFonts w:ascii="Arial" w:eastAsia="Times New Roman" w:hAnsi="Arial" w:cs="Arial"/>
            <w:color w:val="FC6B01"/>
            <w:kern w:val="0"/>
            <w:sz w:val="24"/>
            <w:szCs w:val="24"/>
            <w:u w:val="single"/>
            <w:lang w:eastAsia="es-UY"/>
            <w14:ligatures w14:val="none"/>
          </w:rPr>
          <w:t>Pío X</w:t>
        </w:r>
      </w:hyperlink>
      <w:r w:rsidRPr="00AD5C78">
        <w:rPr>
          <w:rFonts w:ascii="Arial" w:eastAsia="Times New Roman" w:hAnsi="Arial" w:cs="Arial"/>
          <w:color w:val="666666"/>
          <w:kern w:val="0"/>
          <w:sz w:val="24"/>
          <w:szCs w:val="24"/>
          <w:lang w:eastAsia="es-UY"/>
          <w14:ligatures w14:val="none"/>
        </w:rPr>
        <w:t> y que representa una de las grandes esperanzas de este siglo nuestro, a veces tan sombrío» (22).</w:t>
      </w:r>
    </w:p>
    <w:p w14:paraId="6E7F9826"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0FAC7C45"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t>La presencia del Cuerpo de Cristo no es local, sino sustancial, afirma Tomás de Aquino. Esta diferencia radica en la distinción entre una reliquia y el Cuerpo de Cristo, entre veneración y adoración. - Andrea Grillo</w:t>
      </w:r>
    </w:p>
    <w:p w14:paraId="67282048" w14:textId="2FFCD2A1" w:rsidR="00AD5C78" w:rsidRPr="00AD5C78" w:rsidRDefault="00AD5C78" w:rsidP="00AD5C78">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096B535C"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El análisis comienza con una observación histórica:</w:t>
      </w:r>
    </w:p>
    <w:p w14:paraId="7569A4CB"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“En los últimos tres o cuatro siglos, de manera bastante unilateral, se ha enfatizado el hecho de que Dios mismo está presente en la hostia consagrada. […] Sin embargo, este no es el aspecto decisivo de este sacramento” (22).</w:t>
      </w:r>
    </w:p>
    <w:p w14:paraId="70E3FEAC"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 xml:space="preserve">El desarrollo de custodias y sagrarios atestigua, solo a partir de finales de la Edad Media, la lectura </w:t>
      </w:r>
      <w:proofErr w:type="spellStart"/>
      <w:r w:rsidRPr="00AD5C78">
        <w:rPr>
          <w:rFonts w:ascii="Arial" w:eastAsia="Times New Roman" w:hAnsi="Arial" w:cs="Arial"/>
          <w:color w:val="666666"/>
          <w:kern w:val="0"/>
          <w:sz w:val="24"/>
          <w:szCs w:val="24"/>
          <w:lang w:eastAsia="es-UY"/>
          <w14:ligatures w14:val="none"/>
        </w:rPr>
        <w:t>adorativa</w:t>
      </w:r>
      <w:proofErr w:type="spellEnd"/>
      <w:r w:rsidRPr="00AD5C78">
        <w:rPr>
          <w:rFonts w:ascii="Arial" w:eastAsia="Times New Roman" w:hAnsi="Arial" w:cs="Arial"/>
          <w:color w:val="666666"/>
          <w:kern w:val="0"/>
          <w:sz w:val="24"/>
          <w:szCs w:val="24"/>
          <w:lang w:eastAsia="es-UY"/>
          <w14:ligatures w14:val="none"/>
        </w:rPr>
        <w:t xml:space="preserve"> del sacramento, mientras que la recepción de la comunión se convirtió en un acontecimiento cada vez más raro. Basándose en esto, </w:t>
      </w:r>
      <w:r w:rsidRPr="00AD5C78">
        <w:rPr>
          <w:rFonts w:ascii="Arial" w:eastAsia="Times New Roman" w:hAnsi="Arial" w:cs="Arial"/>
          <w:b/>
          <w:bCs/>
          <w:color w:val="666666"/>
          <w:kern w:val="0"/>
          <w:sz w:val="24"/>
          <w:szCs w:val="24"/>
          <w:lang w:eastAsia="es-UY"/>
          <w14:ligatures w14:val="none"/>
        </w:rPr>
        <w:t>Ratzinger</w:t>
      </w:r>
      <w:r w:rsidRPr="00AD5C78">
        <w:rPr>
          <w:rFonts w:ascii="Arial" w:eastAsia="Times New Roman" w:hAnsi="Arial" w:cs="Arial"/>
          <w:color w:val="666666"/>
          <w:kern w:val="0"/>
          <w:sz w:val="24"/>
          <w:szCs w:val="24"/>
          <w:lang w:eastAsia="es-UY"/>
          <w14:ligatures w14:val="none"/>
        </w:rPr>
        <w:t> afirma que «el conjunto no se correspondía del todo con el significado original de este sacramento» (23).</w:t>
      </w:r>
    </w:p>
    <w:p w14:paraId="77DB946D"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75AE014B"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Para corregir esta perspectiva, se propone un argumento muy simple:</w:t>
      </w:r>
    </w:p>
    <w:p w14:paraId="2F74A158"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 xml:space="preserve">«Si el Señor asocia su presencia con la figura del pan, el significado de tal procedimiento es absolutamente claro: incluso este pan santo no se hace principalmente para ser contemplado, sino para ser comido. Esto significa que no permaneció para ser adorado, sino sobre todo para ser recibido. Más que los tabernáculos de </w:t>
      </w:r>
      <w:proofErr w:type="gramStart"/>
      <w:r w:rsidRPr="00AD5C78">
        <w:rPr>
          <w:rFonts w:ascii="Arial" w:eastAsia="Times New Roman" w:hAnsi="Arial" w:cs="Arial"/>
          <w:color w:val="666666"/>
          <w:kern w:val="0"/>
          <w:sz w:val="24"/>
          <w:szCs w:val="24"/>
          <w:lang w:eastAsia="es-UY"/>
          <w14:ligatures w14:val="none"/>
        </w:rPr>
        <w:t>piedra,</w:t>
      </w:r>
      <w:proofErr w:type="gramEnd"/>
      <w:r w:rsidRPr="00AD5C78">
        <w:rPr>
          <w:rFonts w:ascii="Arial" w:eastAsia="Times New Roman" w:hAnsi="Arial" w:cs="Arial"/>
          <w:color w:val="666666"/>
          <w:kern w:val="0"/>
          <w:sz w:val="24"/>
          <w:szCs w:val="24"/>
          <w:lang w:eastAsia="es-UY"/>
          <w14:ligatures w14:val="none"/>
        </w:rPr>
        <w:t xml:space="preserve"> le interesan los </w:t>
      </w:r>
      <w:r w:rsidRPr="00AD5C78">
        <w:rPr>
          <w:rFonts w:ascii="Arial" w:eastAsia="Times New Roman" w:hAnsi="Arial" w:cs="Arial"/>
          <w:b/>
          <w:bCs/>
          <w:color w:val="666666"/>
          <w:kern w:val="0"/>
          <w:sz w:val="24"/>
          <w:szCs w:val="24"/>
          <w:lang w:eastAsia="es-UY"/>
          <w14:ligatures w14:val="none"/>
        </w:rPr>
        <w:t>tabernáculos vivos</w:t>
      </w:r>
      <w:r w:rsidRPr="00AD5C78">
        <w:rPr>
          <w:rFonts w:ascii="Arial" w:eastAsia="Times New Roman" w:hAnsi="Arial" w:cs="Arial"/>
          <w:color w:val="666666"/>
          <w:kern w:val="0"/>
          <w:sz w:val="24"/>
          <w:szCs w:val="24"/>
          <w:lang w:eastAsia="es-UY"/>
          <w14:ligatures w14:val="none"/>
        </w:rPr>
        <w:t> » (23).</w:t>
      </w:r>
    </w:p>
    <w:p w14:paraId="707BFD7B" w14:textId="77777777" w:rsidR="00AD5C78" w:rsidRP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p>
    <w:p w14:paraId="285E73A1"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t>La ubicación del Cuerpo de Cristo y la insistencia en su "permanencia" en forma sacramental inclinan la experiencia de la adoración hacia una problemática proximidad a la veneración. - Andrea Grillo</w:t>
      </w:r>
    </w:p>
    <w:p w14:paraId="4A86A5FA" w14:textId="5FB83D49" w:rsidR="00AD5C78" w:rsidRPr="00AD5C78" w:rsidRDefault="00AD5C78" w:rsidP="00AD5C78">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A9A5465" w14:textId="77777777" w:rsidR="00AD5C78" w:rsidRPr="00AD5C78" w:rsidRDefault="00AD5C78" w:rsidP="00AD5C78">
      <w:pPr>
        <w:spacing w:after="0" w:line="240" w:lineRule="auto"/>
        <w:jc w:val="both"/>
        <w:outlineLvl w:val="1"/>
        <w:rPr>
          <w:rFonts w:ascii="Arial" w:eastAsia="Times New Roman" w:hAnsi="Arial" w:cs="Arial"/>
          <w:b/>
          <w:bCs/>
          <w:color w:val="000000"/>
          <w:kern w:val="0"/>
          <w:sz w:val="24"/>
          <w:szCs w:val="24"/>
          <w:lang w:eastAsia="es-UY"/>
          <w14:ligatures w14:val="none"/>
        </w:rPr>
      </w:pPr>
      <w:r w:rsidRPr="00AD5C78">
        <w:rPr>
          <w:rFonts w:ascii="Arial" w:eastAsia="Times New Roman" w:hAnsi="Arial" w:cs="Arial"/>
          <w:b/>
          <w:bCs/>
          <w:color w:val="000000"/>
          <w:kern w:val="0"/>
          <w:sz w:val="24"/>
          <w:szCs w:val="24"/>
          <w:lang w:eastAsia="es-UY"/>
          <w14:ligatures w14:val="none"/>
        </w:rPr>
        <w:t>4. En conclusión</w:t>
      </w:r>
    </w:p>
    <w:p w14:paraId="7DA461BB" w14:textId="77777777" w:rsidR="00AD5C78" w:rsidRDefault="00AD5C78" w:rsidP="00AD5C78">
      <w:pPr>
        <w:spacing w:after="0" w:line="240" w:lineRule="auto"/>
        <w:jc w:val="both"/>
        <w:rPr>
          <w:rFonts w:ascii="Arial" w:eastAsia="Times New Roman" w:hAnsi="Arial" w:cs="Arial"/>
          <w:color w:val="666666"/>
          <w:kern w:val="0"/>
          <w:sz w:val="24"/>
          <w:szCs w:val="24"/>
          <w:lang w:eastAsia="es-UY"/>
          <w14:ligatures w14:val="none"/>
        </w:rPr>
      </w:pPr>
      <w:r w:rsidRPr="00AD5C78">
        <w:rPr>
          <w:rFonts w:ascii="Arial" w:eastAsia="Times New Roman" w:hAnsi="Arial" w:cs="Arial"/>
          <w:color w:val="666666"/>
          <w:kern w:val="0"/>
          <w:sz w:val="24"/>
          <w:szCs w:val="24"/>
          <w:lang w:eastAsia="es-UY"/>
          <w14:ligatures w14:val="none"/>
        </w:rPr>
        <w:t>El discernimiento necesario entre las </w:t>
      </w:r>
      <w:r w:rsidRPr="00AD5C78">
        <w:rPr>
          <w:rFonts w:ascii="Arial" w:eastAsia="Times New Roman" w:hAnsi="Arial" w:cs="Arial"/>
          <w:b/>
          <w:bCs/>
          <w:color w:val="666666"/>
          <w:kern w:val="0"/>
          <w:sz w:val="24"/>
          <w:szCs w:val="24"/>
          <w:lang w:eastAsia="es-UY"/>
          <w14:ligatures w14:val="none"/>
        </w:rPr>
        <w:t>reliquias</w:t>
      </w:r>
      <w:r w:rsidRPr="00AD5C78">
        <w:rPr>
          <w:rFonts w:ascii="Arial" w:eastAsia="Times New Roman" w:hAnsi="Arial" w:cs="Arial"/>
          <w:color w:val="666666"/>
          <w:kern w:val="0"/>
          <w:sz w:val="24"/>
          <w:szCs w:val="24"/>
          <w:lang w:eastAsia="es-UY"/>
          <w14:ligatures w14:val="none"/>
        </w:rPr>
        <w:t> y el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xml:space="preserve"> sigue siendo uno de los pilares de la espiritualidad cristiana. El hecho de que, a lo largo de la historia, se hayan producido casos de desvío en la relación con el Cuerpo </w:t>
      </w:r>
      <w:r w:rsidRPr="00AD5C78">
        <w:rPr>
          <w:rFonts w:ascii="Arial" w:eastAsia="Times New Roman" w:hAnsi="Arial" w:cs="Arial"/>
          <w:color w:val="666666"/>
          <w:kern w:val="0"/>
          <w:sz w:val="24"/>
          <w:szCs w:val="24"/>
          <w:lang w:eastAsia="es-UY"/>
          <w14:ligatures w14:val="none"/>
        </w:rPr>
        <w:lastRenderedPageBreak/>
        <w:t>de Cristo hacia formas de veneración de reliquias forma parte de la dinámica histórica con la que la Iglesia transita a través del tiempo, entre la luz y la sombra. El redescubrimiento de la diferencia entre </w:t>
      </w:r>
      <w:r w:rsidRPr="00AD5C78">
        <w:rPr>
          <w:rFonts w:ascii="Arial" w:eastAsia="Times New Roman" w:hAnsi="Arial" w:cs="Arial"/>
          <w:b/>
          <w:bCs/>
          <w:color w:val="666666"/>
          <w:kern w:val="0"/>
          <w:sz w:val="24"/>
          <w:szCs w:val="24"/>
          <w:lang w:eastAsia="es-UY"/>
          <w14:ligatures w14:val="none"/>
        </w:rPr>
        <w:t>veneración</w:t>
      </w:r>
      <w:r w:rsidRPr="00AD5C78">
        <w:rPr>
          <w:rFonts w:ascii="Arial" w:eastAsia="Times New Roman" w:hAnsi="Arial" w:cs="Arial"/>
          <w:color w:val="666666"/>
          <w:kern w:val="0"/>
          <w:sz w:val="24"/>
          <w:szCs w:val="24"/>
          <w:lang w:eastAsia="es-UY"/>
          <w14:ligatures w14:val="none"/>
        </w:rPr>
        <w:t> y </w:t>
      </w:r>
      <w:r w:rsidRPr="00AD5C78">
        <w:rPr>
          <w:rFonts w:ascii="Arial" w:eastAsia="Times New Roman" w:hAnsi="Arial" w:cs="Arial"/>
          <w:b/>
          <w:bCs/>
          <w:color w:val="666666"/>
          <w:kern w:val="0"/>
          <w:sz w:val="24"/>
          <w:szCs w:val="24"/>
          <w:lang w:eastAsia="es-UY"/>
          <w14:ligatures w14:val="none"/>
        </w:rPr>
        <w:t>adoración</w:t>
      </w:r>
      <w:r w:rsidRPr="00AD5C78">
        <w:rPr>
          <w:rFonts w:ascii="Arial" w:eastAsia="Times New Roman" w:hAnsi="Arial" w:cs="Arial"/>
          <w:color w:val="666666"/>
          <w:kern w:val="0"/>
          <w:sz w:val="24"/>
          <w:szCs w:val="24"/>
          <w:lang w:eastAsia="es-UY"/>
          <w14:ligatures w14:val="none"/>
        </w:rPr>
        <w:t> en la comunión litúrgica en los últimos dos siglos, culminando en el </w:t>
      </w:r>
      <w:hyperlink r:id="rId17" w:tgtFrame="_blank" w:history="1">
        <w:r w:rsidRPr="00AD5C78">
          <w:rPr>
            <w:rFonts w:ascii="Arial" w:eastAsia="Times New Roman" w:hAnsi="Arial" w:cs="Arial"/>
            <w:color w:val="FC6B01"/>
            <w:kern w:val="0"/>
            <w:sz w:val="24"/>
            <w:szCs w:val="24"/>
            <w:u w:val="single"/>
            <w:lang w:eastAsia="es-UY"/>
            <w14:ligatures w14:val="none"/>
          </w:rPr>
          <w:t>Concilio Vaticano II</w:t>
        </w:r>
      </w:hyperlink>
      <w:r w:rsidRPr="00AD5C78">
        <w:rPr>
          <w:rFonts w:ascii="Arial" w:eastAsia="Times New Roman" w:hAnsi="Arial" w:cs="Arial"/>
          <w:color w:val="666666"/>
          <w:kern w:val="0"/>
          <w:sz w:val="24"/>
          <w:szCs w:val="24"/>
          <w:lang w:eastAsia="es-UY"/>
          <w14:ligatures w14:val="none"/>
        </w:rPr>
        <w:t> , no significa una eliminación de la tradición, sino una sabia reinterpretación. La ubicación del </w:t>
      </w:r>
      <w:r w:rsidRPr="00AD5C78">
        <w:rPr>
          <w:rFonts w:ascii="Arial" w:eastAsia="Times New Roman" w:hAnsi="Arial" w:cs="Arial"/>
          <w:b/>
          <w:bCs/>
          <w:color w:val="666666"/>
          <w:kern w:val="0"/>
          <w:sz w:val="24"/>
          <w:szCs w:val="24"/>
          <w:lang w:eastAsia="es-UY"/>
          <w14:ligatures w14:val="none"/>
        </w:rPr>
        <w:t>Cuerpo de Cristo</w:t>
      </w:r>
      <w:r w:rsidRPr="00AD5C78">
        <w:rPr>
          <w:rFonts w:ascii="Arial" w:eastAsia="Times New Roman" w:hAnsi="Arial" w:cs="Arial"/>
          <w:color w:val="666666"/>
          <w:kern w:val="0"/>
          <w:sz w:val="24"/>
          <w:szCs w:val="24"/>
          <w:lang w:eastAsia="es-UY"/>
          <w14:ligatures w14:val="none"/>
        </w:rPr>
        <w:t> y la insistencia en su permanencia en la forma sacramental inclinan la experiencia de la adoración hacia una problemática proximidad a la veneración. No hay nada negativo en venerar las </w:t>
      </w:r>
      <w:hyperlink r:id="rId18" w:tgtFrame="_blank" w:history="1">
        <w:r w:rsidRPr="00AD5C78">
          <w:rPr>
            <w:rFonts w:ascii="Arial" w:eastAsia="Times New Roman" w:hAnsi="Arial" w:cs="Arial"/>
            <w:color w:val="FC6B01"/>
            <w:kern w:val="0"/>
            <w:sz w:val="24"/>
            <w:szCs w:val="24"/>
            <w:u w:val="single"/>
            <w:lang w:eastAsia="es-UY"/>
            <w14:ligatures w14:val="none"/>
          </w:rPr>
          <w:t>reliquias de San Francisco</w:t>
        </w:r>
      </w:hyperlink>
      <w:r w:rsidRPr="00AD5C78">
        <w:rPr>
          <w:rFonts w:ascii="Arial" w:eastAsia="Times New Roman" w:hAnsi="Arial" w:cs="Arial"/>
          <w:color w:val="666666"/>
          <w:kern w:val="0"/>
          <w:sz w:val="24"/>
          <w:szCs w:val="24"/>
          <w:lang w:eastAsia="es-UY"/>
          <w14:ligatures w14:val="none"/>
        </w:rPr>
        <w:t> , como restos mortales de un santo. Pero si tuviéramos una relación similar con la Eucaristía, mediada principalmente por la ostentación, esto evidenciaría una confusión que alimenta las prácticas eucarísticas, en las que el verdadero propósito de las especies aún no está claro: no la conservación, sino la consumación. Así, el </w:t>
      </w:r>
      <w:r w:rsidRPr="00AD5C78">
        <w:rPr>
          <w:rFonts w:ascii="Arial" w:eastAsia="Times New Roman" w:hAnsi="Arial" w:cs="Arial"/>
          <w:b/>
          <w:bCs/>
          <w:color w:val="666666"/>
          <w:kern w:val="0"/>
          <w:sz w:val="24"/>
          <w:szCs w:val="24"/>
          <w:lang w:eastAsia="es-UY"/>
          <w14:ligatures w14:val="none"/>
        </w:rPr>
        <w:t>Cuerpo sacramental de Cristo</w:t>
      </w:r>
      <w:r w:rsidRPr="00AD5C78">
        <w:rPr>
          <w:rFonts w:ascii="Arial" w:eastAsia="Times New Roman" w:hAnsi="Arial" w:cs="Arial"/>
          <w:color w:val="666666"/>
          <w:kern w:val="0"/>
          <w:sz w:val="24"/>
          <w:szCs w:val="24"/>
          <w:lang w:eastAsia="es-UY"/>
          <w14:ligatures w14:val="none"/>
        </w:rPr>
        <w:t> , sustancial y místico, se convierte en el Cuerpo eclesial de Cristo, un tabernáculo histórico y vivo de comunión y unidad.</w:t>
      </w:r>
    </w:p>
    <w:p w14:paraId="0D22EF70" w14:textId="77777777" w:rsidR="00AD5C78" w:rsidRPr="00AD5C78" w:rsidRDefault="00AD5C78" w:rsidP="00AD5C78">
      <w:pPr>
        <w:spacing w:after="0" w:line="240" w:lineRule="auto"/>
        <w:jc w:val="center"/>
        <w:rPr>
          <w:rFonts w:ascii="Arial" w:eastAsia="Times New Roman" w:hAnsi="Arial" w:cs="Arial"/>
          <w:color w:val="BF4E14" w:themeColor="accent2" w:themeShade="BF"/>
          <w:kern w:val="0"/>
          <w:sz w:val="24"/>
          <w:szCs w:val="24"/>
          <w:lang w:eastAsia="es-UY"/>
          <w14:ligatures w14:val="none"/>
        </w:rPr>
      </w:pPr>
    </w:p>
    <w:p w14:paraId="2646483C" w14:textId="77777777" w:rsidR="00AD5C78" w:rsidRPr="00AD5C78" w:rsidRDefault="00AD5C78" w:rsidP="00AD5C78">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AD5C78">
        <w:rPr>
          <w:rFonts w:ascii="Arial" w:eastAsia="Times New Roman" w:hAnsi="Arial" w:cs="Arial"/>
          <w:b/>
          <w:bCs/>
          <w:i/>
          <w:iCs/>
          <w:color w:val="BF4E14" w:themeColor="accent2" w:themeShade="BF"/>
          <w:kern w:val="0"/>
          <w:sz w:val="24"/>
          <w:szCs w:val="24"/>
          <w:lang w:eastAsia="es-UY"/>
          <w14:ligatures w14:val="none"/>
        </w:rPr>
        <w:t>El redescubrimiento de la diferencia entre las formas de veneración y adoración en la comunión litúrgica durante los últimos dos siglos, que culminó en el Concilio Vaticano II, no significa una eliminación de la tradición, sino más bien una sabia reinterpretación. - Andrea Grillo</w:t>
      </w:r>
    </w:p>
    <w:p w14:paraId="16ED33F5" w14:textId="77777777" w:rsidR="00926044" w:rsidRDefault="00926044" w:rsidP="00AD5C78">
      <w:pPr>
        <w:jc w:val="center"/>
        <w:rPr>
          <w:color w:val="BF4E14" w:themeColor="accent2" w:themeShade="BF"/>
        </w:rPr>
      </w:pPr>
    </w:p>
    <w:p w14:paraId="43C970A2" w14:textId="7B0E61E1" w:rsidR="00AD5C78" w:rsidRDefault="00AD5C78" w:rsidP="00AD5C78">
      <w:pPr>
        <w:jc w:val="center"/>
        <w:rPr>
          <w:color w:val="BF4E14" w:themeColor="accent2" w:themeShade="BF"/>
        </w:rPr>
      </w:pPr>
      <w:hyperlink r:id="rId19" w:history="1">
        <w:r w:rsidRPr="000B4A3E">
          <w:rPr>
            <w:rStyle w:val="Hipervnculo"/>
            <w:color w:val="345964" w:themeColor="hyperlink" w:themeShade="BF"/>
          </w:rPr>
          <w:t>https://www.ihu.unisinos.br/663231-reliquias-o-corpo-e-a-exibicao-sobre-a-relacao-entre-veneracao-e-adoracao-artigo-de-andrea-grillo</w:t>
        </w:r>
      </w:hyperlink>
    </w:p>
    <w:p w14:paraId="5F1C699A" w14:textId="77777777" w:rsidR="00AD5C78" w:rsidRPr="00AD5C78" w:rsidRDefault="00AD5C78" w:rsidP="00AD5C78">
      <w:pPr>
        <w:jc w:val="center"/>
        <w:rPr>
          <w:color w:val="BF4E14" w:themeColor="accent2" w:themeShade="BF"/>
        </w:rPr>
      </w:pPr>
    </w:p>
    <w:sectPr w:rsidR="00AD5C78" w:rsidRPr="00AD5C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C78"/>
    <w:rsid w:val="00376107"/>
    <w:rsid w:val="00926044"/>
    <w:rsid w:val="00AD5C78"/>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8636"/>
  <w15:chartTrackingRefBased/>
  <w15:docId w15:val="{5D4E3D1B-2ABC-4D50-95DB-7B122D89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D5C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D5C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D5C7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D5C7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D5C7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D5C7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D5C7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D5C7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D5C7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5C7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D5C7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D5C7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D5C7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D5C7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D5C7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D5C7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D5C7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D5C78"/>
    <w:rPr>
      <w:rFonts w:eastAsiaTheme="majorEastAsia" w:cstheme="majorBidi"/>
      <w:color w:val="272727" w:themeColor="text1" w:themeTint="D8"/>
    </w:rPr>
  </w:style>
  <w:style w:type="paragraph" w:styleId="Ttulo">
    <w:name w:val="Title"/>
    <w:basedOn w:val="Normal"/>
    <w:next w:val="Normal"/>
    <w:link w:val="TtuloCar"/>
    <w:uiPriority w:val="10"/>
    <w:qFormat/>
    <w:rsid w:val="00AD5C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D5C7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D5C7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D5C7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D5C78"/>
    <w:pPr>
      <w:spacing w:before="160"/>
      <w:jc w:val="center"/>
    </w:pPr>
    <w:rPr>
      <w:i/>
      <w:iCs/>
      <w:color w:val="404040" w:themeColor="text1" w:themeTint="BF"/>
    </w:rPr>
  </w:style>
  <w:style w:type="character" w:customStyle="1" w:styleId="CitaCar">
    <w:name w:val="Cita Car"/>
    <w:basedOn w:val="Fuentedeprrafopredeter"/>
    <w:link w:val="Cita"/>
    <w:uiPriority w:val="29"/>
    <w:rsid w:val="00AD5C78"/>
    <w:rPr>
      <w:i/>
      <w:iCs/>
      <w:color w:val="404040" w:themeColor="text1" w:themeTint="BF"/>
    </w:rPr>
  </w:style>
  <w:style w:type="paragraph" w:styleId="Prrafodelista">
    <w:name w:val="List Paragraph"/>
    <w:basedOn w:val="Normal"/>
    <w:uiPriority w:val="34"/>
    <w:qFormat/>
    <w:rsid w:val="00AD5C78"/>
    <w:pPr>
      <w:ind w:left="720"/>
      <w:contextualSpacing/>
    </w:pPr>
  </w:style>
  <w:style w:type="character" w:styleId="nfasisintenso">
    <w:name w:val="Intense Emphasis"/>
    <w:basedOn w:val="Fuentedeprrafopredeter"/>
    <w:uiPriority w:val="21"/>
    <w:qFormat/>
    <w:rsid w:val="00AD5C78"/>
    <w:rPr>
      <w:i/>
      <w:iCs/>
      <w:color w:val="0F4761" w:themeColor="accent1" w:themeShade="BF"/>
    </w:rPr>
  </w:style>
  <w:style w:type="paragraph" w:styleId="Citadestacada">
    <w:name w:val="Intense Quote"/>
    <w:basedOn w:val="Normal"/>
    <w:next w:val="Normal"/>
    <w:link w:val="CitadestacadaCar"/>
    <w:uiPriority w:val="30"/>
    <w:qFormat/>
    <w:rsid w:val="00AD5C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D5C78"/>
    <w:rPr>
      <w:i/>
      <w:iCs/>
      <w:color w:val="0F4761" w:themeColor="accent1" w:themeShade="BF"/>
    </w:rPr>
  </w:style>
  <w:style w:type="character" w:styleId="Referenciaintensa">
    <w:name w:val="Intense Reference"/>
    <w:basedOn w:val="Fuentedeprrafopredeter"/>
    <w:uiPriority w:val="32"/>
    <w:qFormat/>
    <w:rsid w:val="00AD5C78"/>
    <w:rPr>
      <w:b/>
      <w:bCs/>
      <w:smallCaps/>
      <w:color w:val="0F4761" w:themeColor="accent1" w:themeShade="BF"/>
      <w:spacing w:val="5"/>
    </w:rPr>
  </w:style>
  <w:style w:type="character" w:styleId="Hipervnculo">
    <w:name w:val="Hyperlink"/>
    <w:basedOn w:val="Fuentedeprrafopredeter"/>
    <w:uiPriority w:val="99"/>
    <w:unhideWhenUsed/>
    <w:rsid w:val="00AD5C78"/>
    <w:rPr>
      <w:color w:val="467886" w:themeColor="hyperlink"/>
      <w:u w:val="single"/>
    </w:rPr>
  </w:style>
  <w:style w:type="character" w:styleId="Mencinsinresolver">
    <w:name w:val="Unresolved Mention"/>
    <w:basedOn w:val="Fuentedeprrafopredeter"/>
    <w:uiPriority w:val="99"/>
    <w:semiHidden/>
    <w:unhideWhenUsed/>
    <w:rsid w:val="00AD5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categorias/182-ministerio-da-palavra-na-voz-das-mulheres/655884-solenidade-da-assuncao-de-maria-ano-c-maria-a-mulher-que-acreditou-contra-toda-esperanca" TargetMode="External"/><Relationship Id="rId13" Type="http://schemas.openxmlformats.org/officeDocument/2006/relationships/hyperlink" Target="https://www.ihu.unisinos.br/39670-espero-que-o-cardeal-borromeo-volte-%20entrevista-com-arturo-paoli" TargetMode="External"/><Relationship Id="rId18" Type="http://schemas.openxmlformats.org/officeDocument/2006/relationships/hyperlink" Target="https://www.ihu.unisinos.br/662924-frade-capuchinho-critica-exibicao-de-reliquias-franciscana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ihu.unisinos.br/652723-ascensao-e-exaltacao-de-jesus-o-projeto-de-jesus-continua-na-praxis-das-pessoas-e-comunidades-lc-24-46-53-at-1-9-11" TargetMode="External"/><Relationship Id="rId12" Type="http://schemas.openxmlformats.org/officeDocument/2006/relationships/hyperlink" Target="https://www.ihu.unisinos.br/noticias/510702-o-concilio-de-trento-acabou-depois-de-cinco-seculos" TargetMode="External"/><Relationship Id="rId17" Type="http://schemas.openxmlformats.org/officeDocument/2006/relationships/hyperlink" Target="https://ihu.unisinos.br/categorias/631073-um-impressionante-manual-sobre-o-concilio-vaticano-ii" TargetMode="External"/><Relationship Id="rId2" Type="http://schemas.openxmlformats.org/officeDocument/2006/relationships/settings" Target="settings.xml"/><Relationship Id="rId16" Type="http://schemas.openxmlformats.org/officeDocument/2006/relationships/hyperlink" Target="https://www.ihu.unisinos.br/662604-por-que-a-fsspx-optou-por-sagrar-bispos-sem-mandato-de-roma-uma-analise-a-partir-da-teoria-da-escolha-racional-artigo-de-carlos-eduardo-sel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hu.unisinos.br/categorias/640494-a-tradicao-da-igreja-nao-e-passado-mas-futuro-entrevista-com-andrea-grillo" TargetMode="External"/><Relationship Id="rId11" Type="http://schemas.openxmlformats.org/officeDocument/2006/relationships/hyperlink" Target="https://www.ihu.unisinos.br/categorias/188-noticias-2018/577336-comunhao-na-mao-o-papa-lembra-que-e-possivel" TargetMode="External"/><Relationship Id="rId5" Type="http://schemas.openxmlformats.org/officeDocument/2006/relationships/hyperlink" Target="https://www.ihu.unisinos.br/categorias/657219-o-papa-promete-guardar-a-memoria-dos-martires-de-todas-as-tradicoes-cristas" TargetMode="External"/><Relationship Id="rId15" Type="http://schemas.openxmlformats.org/officeDocument/2006/relationships/hyperlink" Target="https://ihu.unisinos.br/categorias/646318-eu-progressista-para-abrir-as-portas-da-igreja-entrevista-com-joseph-ratzinger" TargetMode="External"/><Relationship Id="rId10" Type="http://schemas.openxmlformats.org/officeDocument/2006/relationships/hyperlink" Target="https://ihu.unisinos.br/categorias/658225-os-ossos-de-sao-francisco-serao-exibidos-publicamente-pela-primeira-vez" TargetMode="External"/><Relationship Id="rId19" Type="http://schemas.openxmlformats.org/officeDocument/2006/relationships/hyperlink" Target="https://www.ihu.unisinos.br/663231-reliquias-o-corpo-e-a-exibicao-sobre-a-relacao-entre-veneracao-e-adoracao-artigo-de-andrea-grillo" TargetMode="External"/><Relationship Id="rId4" Type="http://schemas.openxmlformats.org/officeDocument/2006/relationships/image" Target="media/image1.png"/><Relationship Id="rId9" Type="http://schemas.openxmlformats.org/officeDocument/2006/relationships/hyperlink" Target="https://www.ihu.unisinos.br/categorias/657219-o-papa-promete-guardar-a-memoria-dos-martires-de-todas-as-tradicoes-cristas" TargetMode="External"/><Relationship Id="rId14" Type="http://schemas.openxmlformats.org/officeDocument/2006/relationships/hyperlink" Target="https://ihu.unisinos.br/categorias/637454-a-filosofia-de-tomas-de-aquino-nos-tempos-atua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2809</Words>
  <Characters>15450</Characters>
  <Application>Microsoft Office Word</Application>
  <DocSecurity>0</DocSecurity>
  <Lines>128</Lines>
  <Paragraphs>36</Paragraphs>
  <ScaleCrop>false</ScaleCrop>
  <Company/>
  <LinksUpToDate>false</LinksUpToDate>
  <CharactersWithSpaces>18223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2026-03-13T15:07:00Z</dcterms:created>
  <dcterms:modified xsi:type="dcterms:W3CDTF">2026-03-13T15:10:00Z</dcterms:modified>
</cp:coreProperties>
</file>