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F0667" w14:textId="61E1D304"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drawing>
          <wp:inline distT="0" distB="0" distL="0" distR="0" wp14:anchorId="2F6926E2" wp14:editId="43DD3261">
            <wp:extent cx="5400040" cy="1892300"/>
            <wp:effectExtent l="0" t="0" r="0" b="0"/>
            <wp:docPr id="1981427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27670" name=""/>
                    <pic:cNvPicPr/>
                  </pic:nvPicPr>
                  <pic:blipFill>
                    <a:blip r:embed="rId4"/>
                    <a:stretch>
                      <a:fillRect/>
                    </a:stretch>
                  </pic:blipFill>
                  <pic:spPr>
                    <a:xfrm>
                      <a:off x="0" y="0"/>
                      <a:ext cx="5400040" cy="1892300"/>
                    </a:xfrm>
                    <a:prstGeom prst="rect">
                      <a:avLst/>
                    </a:prstGeom>
                  </pic:spPr>
                </pic:pic>
              </a:graphicData>
            </a:graphic>
          </wp:inline>
        </w:drawing>
      </w:r>
    </w:p>
    <w:p w14:paraId="09C48D1B"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483E82B7" w14:textId="258566C6"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«Muchas mujeres tienen experiencias positivas, pero todo sigue dependiendo en gran medida del azar. Y si, por casualidad, un sacerdote u obispo menos ilustrado está al mando, las palabras positivas del documento no tendrán ningún efecto, pues quedarán ocultas», escribe  </w:t>
      </w:r>
      <w:hyperlink r:id="rId5" w:history="1">
        <w:r w:rsidRPr="00E07822">
          <w:rPr>
            <w:rFonts w:ascii="Arial" w:eastAsia="Times New Roman" w:hAnsi="Arial" w:cs="Arial"/>
            <w:color w:val="FC6B01"/>
            <w:kern w:val="0"/>
            <w:sz w:val="24"/>
            <w:szCs w:val="24"/>
            <w:u w:val="single"/>
            <w:lang w:eastAsia="es-UY"/>
            <w14:ligatures w14:val="none"/>
          </w:rPr>
          <w:t>Elsa Antoniazzi</w:t>
        </w:r>
      </w:hyperlink>
      <w:r w:rsidRPr="00E07822">
        <w:rPr>
          <w:rFonts w:ascii="Arial" w:eastAsia="Times New Roman" w:hAnsi="Arial" w:cs="Arial"/>
          <w:color w:val="333333"/>
          <w:kern w:val="0"/>
          <w:sz w:val="24"/>
          <w:szCs w:val="24"/>
          <w:lang w:eastAsia="es-UY"/>
          <w14:ligatures w14:val="none"/>
        </w:rPr>
        <w:t> , miembro de la Congregación de las </w:t>
      </w:r>
      <w:r w:rsidRPr="00E07822">
        <w:rPr>
          <w:rFonts w:ascii="Arial" w:eastAsia="Times New Roman" w:hAnsi="Arial" w:cs="Arial"/>
          <w:b/>
          <w:bCs/>
          <w:color w:val="333333"/>
          <w:kern w:val="0"/>
          <w:sz w:val="24"/>
          <w:szCs w:val="24"/>
          <w:lang w:eastAsia="es-UY"/>
          <w14:ligatures w14:val="none"/>
        </w:rPr>
        <w:t xml:space="preserve">Hermanas </w:t>
      </w:r>
      <w:proofErr w:type="spellStart"/>
      <w:r w:rsidRPr="00E07822">
        <w:rPr>
          <w:rFonts w:ascii="Arial" w:eastAsia="Times New Roman" w:hAnsi="Arial" w:cs="Arial"/>
          <w:b/>
          <w:bCs/>
          <w:color w:val="333333"/>
          <w:kern w:val="0"/>
          <w:sz w:val="24"/>
          <w:szCs w:val="24"/>
          <w:lang w:eastAsia="es-UY"/>
          <w14:ligatures w14:val="none"/>
        </w:rPr>
        <w:t>Marcelinas</w:t>
      </w:r>
      <w:proofErr w:type="spellEnd"/>
      <w:r w:rsidRPr="00E07822">
        <w:rPr>
          <w:rFonts w:ascii="Arial" w:eastAsia="Times New Roman" w:hAnsi="Arial" w:cs="Arial"/>
          <w:color w:val="333333"/>
          <w:kern w:val="0"/>
          <w:sz w:val="24"/>
          <w:szCs w:val="24"/>
          <w:lang w:eastAsia="es-UY"/>
          <w14:ligatures w14:val="none"/>
        </w:rPr>
        <w:t xml:space="preserve"> . Elsa es licenciada en filosofía por la Universidad Católica de Milán y en teología por la Facultad de Teología de Emilia-Romaña. Es miembro del Centro de Estudios del Instituto, dedicado al estudio de sus textos fundacionales, y directora de la Casa de Espiritualidad Santa Marcelina en </w:t>
      </w:r>
      <w:proofErr w:type="spellStart"/>
      <w:r w:rsidRPr="00E07822">
        <w:rPr>
          <w:rFonts w:ascii="Arial" w:eastAsia="Times New Roman" w:hAnsi="Arial" w:cs="Arial"/>
          <w:color w:val="333333"/>
          <w:kern w:val="0"/>
          <w:sz w:val="24"/>
          <w:szCs w:val="24"/>
          <w:lang w:eastAsia="es-UY"/>
          <w14:ligatures w14:val="none"/>
        </w:rPr>
        <w:t>Pianoro</w:t>
      </w:r>
      <w:proofErr w:type="spellEnd"/>
      <w:r w:rsidRPr="00E07822">
        <w:rPr>
          <w:rFonts w:ascii="Arial" w:eastAsia="Times New Roman" w:hAnsi="Arial" w:cs="Arial"/>
          <w:color w:val="333333"/>
          <w:kern w:val="0"/>
          <w:sz w:val="24"/>
          <w:szCs w:val="24"/>
          <w:lang w:eastAsia="es-UY"/>
          <w14:ligatures w14:val="none"/>
        </w:rPr>
        <w:t>. Es miembro de la </w:t>
      </w:r>
      <w:r w:rsidRPr="00E07822">
        <w:rPr>
          <w:rFonts w:ascii="Arial" w:eastAsia="Times New Roman" w:hAnsi="Arial" w:cs="Arial"/>
          <w:b/>
          <w:bCs/>
          <w:color w:val="333333"/>
          <w:kern w:val="0"/>
          <w:sz w:val="24"/>
          <w:szCs w:val="24"/>
          <w:lang w:eastAsia="es-UY"/>
          <w14:ligatures w14:val="none"/>
        </w:rPr>
        <w:t>Coordinación de Mujeres Teólogas Italianas</w:t>
      </w:r>
      <w:r w:rsidRPr="00E07822">
        <w:rPr>
          <w:rFonts w:ascii="Arial" w:eastAsia="Times New Roman" w:hAnsi="Arial" w:cs="Arial"/>
          <w:color w:val="333333"/>
          <w:kern w:val="0"/>
          <w:sz w:val="24"/>
          <w:szCs w:val="24"/>
          <w:lang w:eastAsia="es-UY"/>
          <w14:ligatures w14:val="none"/>
        </w:rPr>
        <w:t> , </w:t>
      </w:r>
      <w:r w:rsidRPr="00E07822">
        <w:rPr>
          <w:rFonts w:ascii="Arial" w:eastAsia="Times New Roman" w:hAnsi="Arial" w:cs="Arial"/>
          <w:b/>
          <w:bCs/>
          <w:color w:val="333333"/>
          <w:kern w:val="0"/>
          <w:sz w:val="24"/>
          <w:szCs w:val="24"/>
          <w:lang w:eastAsia="es-UY"/>
          <w14:ligatures w14:val="none"/>
        </w:rPr>
        <w:t> </w:t>
      </w:r>
      <w:r w:rsidRPr="00E07822">
        <w:rPr>
          <w:rFonts w:ascii="Arial" w:eastAsia="Times New Roman" w:hAnsi="Arial" w:cs="Arial"/>
          <w:color w:val="333333"/>
          <w:kern w:val="0"/>
          <w:sz w:val="24"/>
          <w:szCs w:val="24"/>
          <w:lang w:eastAsia="es-UY"/>
          <w14:ligatures w14:val="none"/>
        </w:rPr>
        <w:t>según un artículo publicado por  </w:t>
      </w:r>
      <w:proofErr w:type="spellStart"/>
      <w:r w:rsidRPr="00E07822">
        <w:rPr>
          <w:rFonts w:ascii="Arial" w:eastAsia="Times New Roman" w:hAnsi="Arial" w:cs="Arial"/>
          <w:color w:val="333333"/>
          <w:kern w:val="0"/>
          <w:sz w:val="24"/>
          <w:szCs w:val="24"/>
          <w:lang w:eastAsia="es-UY"/>
          <w14:ligatures w14:val="none"/>
        </w:rPr>
        <w:fldChar w:fldCharType="begin"/>
      </w:r>
      <w:r w:rsidRPr="00E07822">
        <w:rPr>
          <w:rFonts w:ascii="Arial" w:eastAsia="Times New Roman" w:hAnsi="Arial" w:cs="Arial"/>
          <w:color w:val="333333"/>
          <w:kern w:val="0"/>
          <w:sz w:val="24"/>
          <w:szCs w:val="24"/>
          <w:lang w:eastAsia="es-UY"/>
          <w14:ligatures w14:val="none"/>
        </w:rPr>
        <w:instrText>HYPERLINK "https://www.settimananews.it/teologia/teologhe-italiane-giusto-limite/" \t "_blank"</w:instrText>
      </w:r>
      <w:r w:rsidRPr="00E07822">
        <w:rPr>
          <w:rFonts w:ascii="Arial" w:eastAsia="Times New Roman" w:hAnsi="Arial" w:cs="Arial"/>
          <w:color w:val="333333"/>
          <w:kern w:val="0"/>
          <w:sz w:val="24"/>
          <w:szCs w:val="24"/>
          <w:lang w:eastAsia="es-UY"/>
          <w14:ligatures w14:val="none"/>
        </w:rPr>
      </w:r>
      <w:r w:rsidRPr="00E07822">
        <w:rPr>
          <w:rFonts w:ascii="Arial" w:eastAsia="Times New Roman" w:hAnsi="Arial" w:cs="Arial"/>
          <w:color w:val="333333"/>
          <w:kern w:val="0"/>
          <w:sz w:val="24"/>
          <w:szCs w:val="24"/>
          <w:lang w:eastAsia="es-UY"/>
          <w14:ligatures w14:val="none"/>
        </w:rPr>
        <w:fldChar w:fldCharType="separate"/>
      </w:r>
      <w:r w:rsidRPr="00E07822">
        <w:rPr>
          <w:rFonts w:ascii="Arial" w:eastAsia="Times New Roman" w:hAnsi="Arial" w:cs="Arial"/>
          <w:color w:val="FC6B01"/>
          <w:kern w:val="0"/>
          <w:sz w:val="24"/>
          <w:szCs w:val="24"/>
          <w:u w:val="single"/>
          <w:lang w:eastAsia="es-UY"/>
          <w14:ligatures w14:val="none"/>
        </w:rPr>
        <w:t>Setimanna</w:t>
      </w:r>
      <w:proofErr w:type="spellEnd"/>
      <w:r w:rsidRPr="00E07822">
        <w:rPr>
          <w:rFonts w:ascii="Arial" w:eastAsia="Times New Roman" w:hAnsi="Arial" w:cs="Arial"/>
          <w:color w:val="FC6B01"/>
          <w:kern w:val="0"/>
          <w:sz w:val="24"/>
          <w:szCs w:val="24"/>
          <w:u w:val="single"/>
          <w:lang w:eastAsia="es-UY"/>
          <w14:ligatures w14:val="none"/>
        </w:rPr>
        <w:t xml:space="preserve"> News</w:t>
      </w:r>
      <w:r w:rsidRPr="00E07822">
        <w:rPr>
          <w:rFonts w:ascii="Arial" w:eastAsia="Times New Roman" w:hAnsi="Arial" w:cs="Arial"/>
          <w:color w:val="333333"/>
          <w:kern w:val="0"/>
          <w:sz w:val="24"/>
          <w:szCs w:val="24"/>
          <w:lang w:eastAsia="es-UY"/>
          <w14:ligatures w14:val="none"/>
        </w:rPr>
        <w:fldChar w:fldCharType="end"/>
      </w:r>
      <w:r w:rsidRPr="00E07822">
        <w:rPr>
          <w:rFonts w:ascii="Arial" w:eastAsia="Times New Roman" w:hAnsi="Arial" w:cs="Arial"/>
          <w:color w:val="333333"/>
          <w:kern w:val="0"/>
          <w:sz w:val="24"/>
          <w:szCs w:val="24"/>
          <w:lang w:eastAsia="es-UY"/>
          <w14:ligatures w14:val="none"/>
        </w:rPr>
        <w:t> el 16 de marzo de 2026.</w:t>
      </w:r>
    </w:p>
    <w:p w14:paraId="64C53347"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21297F7F" w14:textId="77777777" w:rsidR="00E07822" w:rsidRPr="00E07822" w:rsidRDefault="00E07822" w:rsidP="00E07822">
      <w:pPr>
        <w:spacing w:after="0" w:line="240" w:lineRule="auto"/>
        <w:jc w:val="both"/>
        <w:outlineLvl w:val="1"/>
        <w:rPr>
          <w:rFonts w:ascii="Arial" w:eastAsia="Times New Roman" w:hAnsi="Arial" w:cs="Arial"/>
          <w:b/>
          <w:bCs/>
          <w:color w:val="333333"/>
          <w:kern w:val="0"/>
          <w:sz w:val="24"/>
          <w:szCs w:val="24"/>
          <w:lang w:eastAsia="es-UY"/>
          <w14:ligatures w14:val="none"/>
        </w:rPr>
      </w:pPr>
      <w:r w:rsidRPr="00E07822">
        <w:rPr>
          <w:rFonts w:ascii="Arial" w:eastAsia="Times New Roman" w:hAnsi="Arial" w:cs="Arial"/>
          <w:b/>
          <w:bCs/>
          <w:color w:val="333333"/>
          <w:kern w:val="0"/>
          <w:sz w:val="24"/>
          <w:szCs w:val="24"/>
          <w:lang w:eastAsia="es-UY"/>
          <w14:ligatures w14:val="none"/>
        </w:rPr>
        <w:t>Aquí está el artículo.</w:t>
      </w:r>
    </w:p>
    <w:p w14:paraId="500CFCE2"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En la era de los microchips, evocar la imagen de un palillo de dientes atascando un engranaje no es precisamente convincente, pero es lo primero que viene a la mente al leer el documento </w:t>
      </w:r>
      <w:hyperlink r:id="rId6" w:tgtFrame="_blank" w:history="1">
        <w:r w:rsidRPr="00E07822">
          <w:rPr>
            <w:rFonts w:ascii="Arial" w:eastAsia="Times New Roman" w:hAnsi="Arial" w:cs="Arial"/>
            <w:color w:val="FC6B01"/>
            <w:kern w:val="0"/>
            <w:sz w:val="24"/>
            <w:szCs w:val="24"/>
            <w:u w:val="single"/>
            <w:lang w:eastAsia="es-UY"/>
            <w14:ligatures w14:val="none"/>
          </w:rPr>
          <w:t>Hacia una Iglesia sinodal: comunión, participación, misión – Grupo de estudio n.º 5: La participación de las mujeres en la vida y el liderazgo de la Iglesia</w:t>
        </w:r>
      </w:hyperlink>
      <w:r w:rsidRPr="00E07822">
        <w:rPr>
          <w:rFonts w:ascii="Arial" w:eastAsia="Times New Roman" w:hAnsi="Arial" w:cs="Arial"/>
          <w:color w:val="333333"/>
          <w:kern w:val="0"/>
          <w:sz w:val="24"/>
          <w:szCs w:val="24"/>
          <w:lang w:eastAsia="es-UY"/>
          <w14:ligatures w14:val="none"/>
        </w:rPr>
        <w:t> .</w:t>
      </w:r>
    </w:p>
    <w:p w14:paraId="367A55B1"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1D4E4A76"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Las conclusiones del estudio se dividen en un texto y tres apéndices que abordan la </w:t>
      </w:r>
      <w:hyperlink r:id="rId7" w:tgtFrame="_blank" w:history="1">
        <w:r w:rsidRPr="00E07822">
          <w:rPr>
            <w:rFonts w:ascii="Arial" w:eastAsia="Times New Roman" w:hAnsi="Arial" w:cs="Arial"/>
            <w:color w:val="FC6B01"/>
            <w:kern w:val="0"/>
            <w:sz w:val="24"/>
            <w:szCs w:val="24"/>
            <w:u w:val="single"/>
            <w:lang w:eastAsia="es-UY"/>
            <w14:ligatures w14:val="none"/>
          </w:rPr>
          <w:t>presencia de la mujer en las Escrituras</w:t>
        </w:r>
      </w:hyperlink>
      <w:r w:rsidRPr="00E07822">
        <w:rPr>
          <w:rFonts w:ascii="Arial" w:eastAsia="Times New Roman" w:hAnsi="Arial" w:cs="Arial"/>
          <w:color w:val="333333"/>
          <w:kern w:val="0"/>
          <w:sz w:val="24"/>
          <w:szCs w:val="24"/>
          <w:lang w:eastAsia="es-UY"/>
          <w14:ligatures w14:val="none"/>
        </w:rPr>
        <w:t> , la historia y la Iglesia contemporánea.</w:t>
      </w:r>
    </w:p>
    <w:p w14:paraId="5F8B5AF8"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La inclusión de esta última sección me resulta interesante y, además, me parece innovadora. Estas preguntas enumeran diversas experiencias en las que el obispo designa a mujeres para áreas específicas o generales. Todo esto ocurre dentro de la estructura fundamental, aunque los obispos, individualmente, son conscientes de que transitan por caminos que carecen de normas precisas. Sin embargo, es su decisión discrecional, y por lo tanto, la toman.</w:t>
      </w:r>
    </w:p>
    <w:p w14:paraId="002DCE97"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La pregunta que surge espontáneamente es: ¿podemos considerar la posibilidad de adaptar la ley?</w:t>
      </w:r>
    </w:p>
    <w:p w14:paraId="4F3D787A"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785B18F2"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Más adelante, encontramos la sección sobre </w:t>
      </w:r>
      <w:hyperlink r:id="rId8" w:tgtFrame="_blank" w:history="1">
        <w:r w:rsidRPr="00E07822">
          <w:rPr>
            <w:rFonts w:ascii="Arial" w:eastAsia="Times New Roman" w:hAnsi="Arial" w:cs="Arial"/>
            <w:color w:val="FC6B01"/>
            <w:kern w:val="0"/>
            <w:sz w:val="24"/>
            <w:szCs w:val="24"/>
            <w:u w:val="single"/>
            <w:lang w:eastAsia="es-UY"/>
            <w14:ligatures w14:val="none"/>
          </w:rPr>
          <w:t>las mujeres en la historia de la Iglesia</w:t>
        </w:r>
      </w:hyperlink>
      <w:r w:rsidRPr="00E07822">
        <w:rPr>
          <w:rFonts w:ascii="Arial" w:eastAsia="Times New Roman" w:hAnsi="Arial" w:cs="Arial"/>
          <w:color w:val="333333"/>
          <w:kern w:val="0"/>
          <w:sz w:val="24"/>
          <w:szCs w:val="24"/>
          <w:lang w:eastAsia="es-UY"/>
          <w14:ligatures w14:val="none"/>
        </w:rPr>
        <w:t> , sin duda la más famosa y mejor descrita. Sin embargo, en la conclusión, hay una afirmación sin fundamento que deja al lector perplejo, pero ojalá también asombrado: acompañadas por hombres que las ayudaron a madurar, leemos más adelante que cualquier desacuerdo con la jerarquía se debe a la personalidad de las mujeres.</w:t>
      </w:r>
    </w:p>
    <w:p w14:paraId="3823A7B8"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59D8EE8E"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lastRenderedPageBreak/>
        <w:t>La imagen de la mujer histérica y siempre "inferior" permanece intacta y efectiva. Primero, el palillo de dientes.</w:t>
      </w:r>
    </w:p>
    <w:p w14:paraId="767279E7"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7244A25D"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A continuación, se presenta la figura de </w:t>
      </w:r>
      <w:r w:rsidRPr="00E07822">
        <w:rPr>
          <w:rFonts w:ascii="Arial" w:eastAsia="Times New Roman" w:hAnsi="Arial" w:cs="Arial"/>
          <w:b/>
          <w:bCs/>
          <w:color w:val="333333"/>
          <w:kern w:val="0"/>
          <w:sz w:val="24"/>
          <w:szCs w:val="24"/>
          <w:lang w:eastAsia="es-UY"/>
          <w14:ligatures w14:val="none"/>
        </w:rPr>
        <w:t>la mujer bíblica</w:t>
      </w:r>
      <w:r w:rsidRPr="00E07822">
        <w:rPr>
          <w:rFonts w:ascii="Arial" w:eastAsia="Times New Roman" w:hAnsi="Arial" w:cs="Arial"/>
          <w:color w:val="333333"/>
          <w:kern w:val="0"/>
          <w:sz w:val="24"/>
          <w:szCs w:val="24"/>
          <w:lang w:eastAsia="es-UY"/>
          <w14:ligatures w14:val="none"/>
        </w:rPr>
        <w:t> . Nadie ha dudado jamás de la </w:t>
      </w:r>
      <w:hyperlink r:id="rId9" w:tgtFrame="_blank" w:history="1">
        <w:r w:rsidRPr="00E07822">
          <w:rPr>
            <w:rFonts w:ascii="Arial" w:eastAsia="Times New Roman" w:hAnsi="Arial" w:cs="Arial"/>
            <w:color w:val="FC6B01"/>
            <w:kern w:val="0"/>
            <w:sz w:val="24"/>
            <w:szCs w:val="24"/>
            <w:u w:val="single"/>
            <w:lang w:eastAsia="es-UY"/>
            <w14:ligatures w14:val="none"/>
          </w:rPr>
          <w:t>presencia de mujeres en los relatos bíblicos</w:t>
        </w:r>
      </w:hyperlink>
      <w:r w:rsidRPr="00E07822">
        <w:rPr>
          <w:rFonts w:ascii="Arial" w:eastAsia="Times New Roman" w:hAnsi="Arial" w:cs="Arial"/>
          <w:color w:val="333333"/>
          <w:kern w:val="0"/>
          <w:sz w:val="24"/>
          <w:szCs w:val="24"/>
          <w:lang w:eastAsia="es-UY"/>
          <w14:ligatures w14:val="none"/>
        </w:rPr>
        <w:t> . La cuestión que se explora en gran parte de la literatura exegética sobre el tema es si estas presencias son obligatorias para una narración significativa o si forman parte estructural del texto.</w:t>
      </w:r>
    </w:p>
    <w:p w14:paraId="5319CB46"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4E15AF63"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¿La presencia de las mujeres nos ayuda a comprender el rostro de Dios y sus acciones hacia el pueblo de </w:t>
      </w:r>
      <w:r w:rsidRPr="00E07822">
        <w:rPr>
          <w:rFonts w:ascii="Arial" w:eastAsia="Times New Roman" w:hAnsi="Arial" w:cs="Arial"/>
          <w:b/>
          <w:bCs/>
          <w:color w:val="333333"/>
          <w:kern w:val="0"/>
          <w:sz w:val="24"/>
          <w:szCs w:val="24"/>
          <w:lang w:eastAsia="es-UY"/>
          <w14:ligatures w14:val="none"/>
        </w:rPr>
        <w:t>Israel</w:t>
      </w:r>
      <w:r w:rsidRPr="00E07822">
        <w:rPr>
          <w:rFonts w:ascii="Arial" w:eastAsia="Times New Roman" w:hAnsi="Arial" w:cs="Arial"/>
          <w:color w:val="333333"/>
          <w:kern w:val="0"/>
          <w:sz w:val="24"/>
          <w:szCs w:val="24"/>
          <w:lang w:eastAsia="es-UY"/>
          <w14:ligatures w14:val="none"/>
        </w:rPr>
        <w:t> ?</w:t>
      </w:r>
    </w:p>
    <w:p w14:paraId="30F64E7E"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No hay rastro de ello, y a decir verdad, hay pasajes que deberían analizarse exegéticamente. El texto parece indicar: ciñámonos a los hechos y no a las interpretaciones, pero esto no siempre es posible. Por lo tanto, resulta algo sorprendente afirmar que «Dios parece acoger y casi apoyar la estrategia de </w:t>
      </w:r>
      <w:r w:rsidRPr="00E07822">
        <w:rPr>
          <w:rFonts w:ascii="Arial" w:eastAsia="Times New Roman" w:hAnsi="Arial" w:cs="Arial"/>
          <w:b/>
          <w:bCs/>
          <w:color w:val="333333"/>
          <w:kern w:val="0"/>
          <w:sz w:val="24"/>
          <w:szCs w:val="24"/>
          <w:lang w:eastAsia="es-UY"/>
          <w14:ligatures w14:val="none"/>
        </w:rPr>
        <w:t>Rebeca</w:t>
      </w:r>
      <w:r w:rsidRPr="00E07822">
        <w:rPr>
          <w:rFonts w:ascii="Arial" w:eastAsia="Times New Roman" w:hAnsi="Arial" w:cs="Arial"/>
          <w:color w:val="333333"/>
          <w:kern w:val="0"/>
          <w:sz w:val="24"/>
          <w:szCs w:val="24"/>
          <w:lang w:eastAsia="es-UY"/>
          <w14:ligatures w14:val="none"/>
        </w:rPr>
        <w:t> » (Apéndice I, 12).</w:t>
      </w:r>
    </w:p>
    <w:p w14:paraId="27451621"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742E1655"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Al final de la historia, la mujer obtiene para su </w:t>
      </w:r>
      <w:hyperlink r:id="rId10" w:tgtFrame="_blank" w:history="1">
        <w:r w:rsidRPr="00E07822">
          <w:rPr>
            <w:rFonts w:ascii="Arial" w:eastAsia="Times New Roman" w:hAnsi="Arial" w:cs="Arial"/>
            <w:color w:val="FC6B01"/>
            <w:kern w:val="0"/>
            <w:sz w:val="24"/>
            <w:szCs w:val="24"/>
            <w:u w:val="single"/>
            <w:lang w:eastAsia="es-UY"/>
            <w14:ligatures w14:val="none"/>
          </w:rPr>
          <w:t>Jacob</w:t>
        </w:r>
      </w:hyperlink>
      <w:r w:rsidRPr="00E07822">
        <w:rPr>
          <w:rFonts w:ascii="Arial" w:eastAsia="Times New Roman" w:hAnsi="Arial" w:cs="Arial"/>
          <w:color w:val="333333"/>
          <w:kern w:val="0"/>
          <w:sz w:val="24"/>
          <w:szCs w:val="24"/>
          <w:lang w:eastAsia="es-UY"/>
          <w14:ligatures w14:val="none"/>
        </w:rPr>
        <w:t> la herencia prometida, junto con la bendición de su padre. Reducir todo esto a una mera apariencia es minimizar el significado del gesto de </w:t>
      </w:r>
      <w:r w:rsidRPr="00E07822">
        <w:rPr>
          <w:rFonts w:ascii="Arial" w:eastAsia="Times New Roman" w:hAnsi="Arial" w:cs="Arial"/>
          <w:b/>
          <w:bCs/>
          <w:color w:val="333333"/>
          <w:kern w:val="0"/>
          <w:sz w:val="24"/>
          <w:szCs w:val="24"/>
          <w:lang w:eastAsia="es-UY"/>
          <w14:ligatures w14:val="none"/>
        </w:rPr>
        <w:t>Rebeca</w:t>
      </w:r>
      <w:r w:rsidRPr="00E07822">
        <w:rPr>
          <w:rFonts w:ascii="Arial" w:eastAsia="Times New Roman" w:hAnsi="Arial" w:cs="Arial"/>
          <w:color w:val="333333"/>
          <w:kern w:val="0"/>
          <w:sz w:val="24"/>
          <w:szCs w:val="24"/>
          <w:lang w:eastAsia="es-UY"/>
          <w14:ligatures w14:val="none"/>
        </w:rPr>
        <w:t> y considerar únicamente la narración. </w:t>
      </w:r>
      <w:r w:rsidRPr="00E07822">
        <w:rPr>
          <w:rFonts w:ascii="Arial" w:eastAsia="Times New Roman" w:hAnsi="Arial" w:cs="Arial"/>
          <w:b/>
          <w:bCs/>
          <w:color w:val="333333"/>
          <w:kern w:val="0"/>
          <w:sz w:val="24"/>
          <w:szCs w:val="24"/>
          <w:lang w:eastAsia="es-UY"/>
          <w14:ligatures w14:val="none"/>
        </w:rPr>
        <w:t>Jacob</w:t>
      </w:r>
      <w:r w:rsidRPr="00E07822">
        <w:rPr>
          <w:rFonts w:ascii="Arial" w:eastAsia="Times New Roman" w:hAnsi="Arial" w:cs="Arial"/>
          <w:color w:val="333333"/>
          <w:kern w:val="0"/>
          <w:sz w:val="24"/>
          <w:szCs w:val="24"/>
          <w:lang w:eastAsia="es-UY"/>
          <w14:ligatures w14:val="none"/>
        </w:rPr>
        <w:t> será llamado </w:t>
      </w:r>
      <w:r w:rsidRPr="00E07822">
        <w:rPr>
          <w:rFonts w:ascii="Arial" w:eastAsia="Times New Roman" w:hAnsi="Arial" w:cs="Arial"/>
          <w:b/>
          <w:bCs/>
          <w:color w:val="333333"/>
          <w:kern w:val="0"/>
          <w:sz w:val="24"/>
          <w:szCs w:val="24"/>
          <w:lang w:eastAsia="es-UY"/>
          <w14:ligatures w14:val="none"/>
        </w:rPr>
        <w:t>Israel</w:t>
      </w:r>
      <w:r w:rsidRPr="00E07822">
        <w:rPr>
          <w:rFonts w:ascii="Arial" w:eastAsia="Times New Roman" w:hAnsi="Arial" w:cs="Arial"/>
          <w:color w:val="333333"/>
          <w:kern w:val="0"/>
          <w:sz w:val="24"/>
          <w:szCs w:val="24"/>
          <w:lang w:eastAsia="es-UY"/>
          <w14:ligatures w14:val="none"/>
        </w:rPr>
        <w:t> , y la primogenitura, de hecho, seguirá siendo suya. Así, el gesto de </w:t>
      </w:r>
      <w:r w:rsidRPr="00E07822">
        <w:rPr>
          <w:rFonts w:ascii="Arial" w:eastAsia="Times New Roman" w:hAnsi="Arial" w:cs="Arial"/>
          <w:b/>
          <w:bCs/>
          <w:color w:val="333333"/>
          <w:kern w:val="0"/>
          <w:sz w:val="24"/>
          <w:szCs w:val="24"/>
          <w:lang w:eastAsia="es-UY"/>
          <w14:ligatures w14:val="none"/>
        </w:rPr>
        <w:t>Rebeca</w:t>
      </w:r>
      <w:r w:rsidRPr="00E07822">
        <w:rPr>
          <w:rFonts w:ascii="Arial" w:eastAsia="Times New Roman" w:hAnsi="Arial" w:cs="Arial"/>
          <w:color w:val="333333"/>
          <w:kern w:val="0"/>
          <w:sz w:val="24"/>
          <w:szCs w:val="24"/>
          <w:lang w:eastAsia="es-UY"/>
          <w14:ligatures w14:val="none"/>
        </w:rPr>
        <w:t> es un acto de salvaguardar el pacto, asignando la primogenitura a aquel a quien estaba destinada. </w:t>
      </w:r>
      <w:r w:rsidRPr="00E07822">
        <w:rPr>
          <w:rFonts w:ascii="Arial" w:eastAsia="Times New Roman" w:hAnsi="Arial" w:cs="Arial"/>
          <w:b/>
          <w:bCs/>
          <w:color w:val="333333"/>
          <w:kern w:val="0"/>
          <w:sz w:val="24"/>
          <w:szCs w:val="24"/>
          <w:lang w:eastAsia="es-UY"/>
          <w14:ligatures w14:val="none"/>
        </w:rPr>
        <w:t>Génesis 25:23</w:t>
      </w:r>
      <w:r w:rsidRPr="00E07822">
        <w:rPr>
          <w:rFonts w:ascii="Arial" w:eastAsia="Times New Roman" w:hAnsi="Arial" w:cs="Arial"/>
          <w:color w:val="333333"/>
          <w:kern w:val="0"/>
          <w:sz w:val="24"/>
          <w:szCs w:val="24"/>
          <w:lang w:eastAsia="es-UY"/>
          <w14:ligatures w14:val="none"/>
        </w:rPr>
        <w:t> dice: «El mayor servirá al menor». (Segundo palillo).</w:t>
      </w:r>
    </w:p>
    <w:p w14:paraId="53F14AD1"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271B9D90"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En cuanto a las </w:t>
      </w:r>
      <w:hyperlink r:id="rId11" w:tgtFrame="_blank" w:history="1">
        <w:r w:rsidRPr="00E07822">
          <w:rPr>
            <w:rFonts w:ascii="Arial" w:eastAsia="Times New Roman" w:hAnsi="Arial" w:cs="Arial"/>
            <w:color w:val="FC6B01"/>
            <w:kern w:val="0"/>
            <w:sz w:val="24"/>
            <w:szCs w:val="24"/>
            <w:u w:val="single"/>
            <w:lang w:eastAsia="es-UY"/>
            <w14:ligatures w14:val="none"/>
          </w:rPr>
          <w:t>mujeres del Nuevo Testamento</w:t>
        </w:r>
      </w:hyperlink>
      <w:r w:rsidRPr="00E07822">
        <w:rPr>
          <w:rFonts w:ascii="Arial" w:eastAsia="Times New Roman" w:hAnsi="Arial" w:cs="Arial"/>
          <w:color w:val="333333"/>
          <w:kern w:val="0"/>
          <w:sz w:val="24"/>
          <w:szCs w:val="24"/>
          <w:lang w:eastAsia="es-UY"/>
          <w14:ligatures w14:val="none"/>
        </w:rPr>
        <w:t> , cabe señalar que se menciona el pasaje de </w:t>
      </w:r>
      <w:hyperlink r:id="rId12" w:tgtFrame="_blank" w:history="1">
        <w:r w:rsidRPr="00E07822">
          <w:rPr>
            <w:rFonts w:ascii="Arial" w:eastAsia="Times New Roman" w:hAnsi="Arial" w:cs="Arial"/>
            <w:color w:val="FC6B01"/>
            <w:kern w:val="0"/>
            <w:sz w:val="24"/>
            <w:szCs w:val="24"/>
            <w:u w:val="single"/>
            <w:lang w:eastAsia="es-UY"/>
            <w14:ligatures w14:val="none"/>
          </w:rPr>
          <w:t>Lucas 8:1-3</w:t>
        </w:r>
      </w:hyperlink>
      <w:r w:rsidRPr="00E07822">
        <w:rPr>
          <w:rFonts w:ascii="Arial" w:eastAsia="Times New Roman" w:hAnsi="Arial" w:cs="Arial"/>
          <w:color w:val="333333"/>
          <w:kern w:val="0"/>
          <w:sz w:val="24"/>
          <w:szCs w:val="24"/>
          <w:lang w:eastAsia="es-UY"/>
          <w14:ligatures w14:val="none"/>
        </w:rPr>
        <w:t> , en el que se habla de un posible discipulado; mientras que se omiten las mujeres de Marcos, de quienes se afirma claramente que lo siguieron desde </w:t>
      </w:r>
      <w:r w:rsidRPr="00E07822">
        <w:rPr>
          <w:rFonts w:ascii="Arial" w:eastAsia="Times New Roman" w:hAnsi="Arial" w:cs="Arial"/>
          <w:b/>
          <w:bCs/>
          <w:color w:val="333333"/>
          <w:kern w:val="0"/>
          <w:sz w:val="24"/>
          <w:szCs w:val="24"/>
          <w:lang w:eastAsia="es-UY"/>
          <w14:ligatures w14:val="none"/>
        </w:rPr>
        <w:t>Galilea</w:t>
      </w:r>
      <w:r w:rsidRPr="00E07822">
        <w:rPr>
          <w:rFonts w:ascii="Arial" w:eastAsia="Times New Roman" w:hAnsi="Arial" w:cs="Arial"/>
          <w:color w:val="333333"/>
          <w:kern w:val="0"/>
          <w:sz w:val="24"/>
          <w:szCs w:val="24"/>
          <w:lang w:eastAsia="es-UY"/>
          <w14:ligatures w14:val="none"/>
        </w:rPr>
        <w:t> ( </w:t>
      </w:r>
      <w:r w:rsidRPr="00E07822">
        <w:rPr>
          <w:rFonts w:ascii="Arial" w:eastAsia="Times New Roman" w:hAnsi="Arial" w:cs="Arial"/>
          <w:b/>
          <w:bCs/>
          <w:color w:val="333333"/>
          <w:kern w:val="0"/>
          <w:sz w:val="24"/>
          <w:szCs w:val="24"/>
          <w:lang w:eastAsia="es-UY"/>
          <w14:ligatures w14:val="none"/>
        </w:rPr>
        <w:t>Marcos 15:41</w:t>
      </w:r>
      <w:r w:rsidRPr="00E07822">
        <w:rPr>
          <w:rFonts w:ascii="Arial" w:eastAsia="Times New Roman" w:hAnsi="Arial" w:cs="Arial"/>
          <w:color w:val="333333"/>
          <w:kern w:val="0"/>
          <w:sz w:val="24"/>
          <w:szCs w:val="24"/>
          <w:lang w:eastAsia="es-UY"/>
          <w14:ligatures w14:val="none"/>
        </w:rPr>
        <w:t> ).</w:t>
      </w:r>
    </w:p>
    <w:p w14:paraId="4DE02504"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69785954"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También cabe destacar que la experiencia femenina aparece en las parábolas, pero si es así, el mundo vegetal también aparece.</w:t>
      </w:r>
    </w:p>
    <w:p w14:paraId="2B82CA17"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4907D850"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Así pues, con un pacifismo inútil, recordamos la colaboración de </w:t>
      </w:r>
      <w:r w:rsidRPr="00E07822">
        <w:rPr>
          <w:rFonts w:ascii="Arial" w:eastAsia="Times New Roman" w:hAnsi="Arial" w:cs="Arial"/>
          <w:b/>
          <w:bCs/>
          <w:color w:val="333333"/>
          <w:kern w:val="0"/>
          <w:sz w:val="24"/>
          <w:szCs w:val="24"/>
          <w:lang w:eastAsia="es-UY"/>
          <w14:ligatures w14:val="none"/>
        </w:rPr>
        <w:t>Febe</w:t>
      </w:r>
      <w:r w:rsidRPr="00E07822">
        <w:rPr>
          <w:rFonts w:ascii="Arial" w:eastAsia="Times New Roman" w:hAnsi="Arial" w:cs="Arial"/>
          <w:color w:val="333333"/>
          <w:kern w:val="0"/>
          <w:sz w:val="24"/>
          <w:szCs w:val="24"/>
          <w:lang w:eastAsia="es-UY"/>
          <w14:ligatures w14:val="none"/>
        </w:rPr>
        <w:t> , mencionada en </w:t>
      </w:r>
      <w:r w:rsidRPr="00E07822">
        <w:rPr>
          <w:rFonts w:ascii="Arial" w:eastAsia="Times New Roman" w:hAnsi="Arial" w:cs="Arial"/>
          <w:b/>
          <w:bCs/>
          <w:color w:val="333333"/>
          <w:kern w:val="0"/>
          <w:sz w:val="24"/>
          <w:szCs w:val="24"/>
          <w:lang w:eastAsia="es-UY"/>
          <w14:ligatures w14:val="none"/>
        </w:rPr>
        <w:t>Romanos 16:1-2</w:t>
      </w:r>
      <w:r w:rsidRPr="00E07822">
        <w:rPr>
          <w:rFonts w:ascii="Arial" w:eastAsia="Times New Roman" w:hAnsi="Arial" w:cs="Arial"/>
          <w:color w:val="333333"/>
          <w:kern w:val="0"/>
          <w:sz w:val="24"/>
          <w:szCs w:val="24"/>
          <w:lang w:eastAsia="es-UY"/>
          <w14:ligatures w14:val="none"/>
        </w:rPr>
        <w:t> con el término « </w:t>
      </w:r>
      <w:r w:rsidRPr="00E07822">
        <w:rPr>
          <w:rFonts w:ascii="Arial" w:eastAsia="Times New Roman" w:hAnsi="Arial" w:cs="Arial"/>
          <w:b/>
          <w:bCs/>
          <w:color w:val="333333"/>
          <w:kern w:val="0"/>
          <w:sz w:val="24"/>
          <w:szCs w:val="24"/>
          <w:lang w:eastAsia="es-UY"/>
          <w14:ligatures w14:val="none"/>
        </w:rPr>
        <w:t>diaconisa</w:t>
      </w:r>
      <w:r w:rsidRPr="00E07822">
        <w:rPr>
          <w:rFonts w:ascii="Arial" w:eastAsia="Times New Roman" w:hAnsi="Arial" w:cs="Arial"/>
          <w:color w:val="333333"/>
          <w:kern w:val="0"/>
          <w:sz w:val="24"/>
          <w:szCs w:val="24"/>
          <w:lang w:eastAsia="es-UY"/>
          <w14:ligatures w14:val="none"/>
        </w:rPr>
        <w:t> ». Este es uno de los pasajes citados como evidencia de la presencia de un </w:t>
      </w:r>
      <w:hyperlink r:id="rId13" w:tgtFrame="_blank" w:history="1">
        <w:r w:rsidRPr="00E07822">
          <w:rPr>
            <w:rFonts w:ascii="Arial" w:eastAsia="Times New Roman" w:hAnsi="Arial" w:cs="Arial"/>
            <w:color w:val="FC6B01"/>
            <w:kern w:val="0"/>
            <w:sz w:val="24"/>
            <w:szCs w:val="24"/>
            <w:u w:val="single"/>
            <w:lang w:eastAsia="es-UY"/>
            <w14:ligatures w14:val="none"/>
          </w:rPr>
          <w:t>ministerio diaconal femenino</w:t>
        </w:r>
      </w:hyperlink>
      <w:r w:rsidRPr="00E07822">
        <w:rPr>
          <w:rFonts w:ascii="Arial" w:eastAsia="Times New Roman" w:hAnsi="Arial" w:cs="Arial"/>
          <w:color w:val="333333"/>
          <w:kern w:val="0"/>
          <w:sz w:val="24"/>
          <w:szCs w:val="24"/>
          <w:lang w:eastAsia="es-UY"/>
          <w14:ligatures w14:val="none"/>
        </w:rPr>
        <w:t> en las primeras comunidades. Marca el inicio de la reflexión y el cuestionamiento respecto al ministerio diaconal.</w:t>
      </w:r>
    </w:p>
    <w:p w14:paraId="46716FFF"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4D024503"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Así, sin hacer grandes declaraciones, no solo no tomamos postura —y quizás el grupo no pudo hacerlo—, sino que también borramos el problema, haciéndolo inexistente. Cuarta cerilla.</w:t>
      </w:r>
    </w:p>
    <w:p w14:paraId="701A9079"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6B1E56A9"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A continuación, el texto en sí. El punto 6 recomienda que el tema se «combine con análisis específicos de </w:t>
      </w:r>
      <w:hyperlink r:id="rId14" w:tgtFrame="_blank" w:history="1">
        <w:r w:rsidRPr="00E07822">
          <w:rPr>
            <w:rFonts w:ascii="Arial" w:eastAsia="Times New Roman" w:hAnsi="Arial" w:cs="Arial"/>
            <w:color w:val="FC6B01"/>
            <w:kern w:val="0"/>
            <w:sz w:val="24"/>
            <w:szCs w:val="24"/>
            <w:u w:val="single"/>
            <w:lang w:eastAsia="es-UY"/>
            <w14:ligatures w14:val="none"/>
          </w:rPr>
          <w:t>contextos eclesiales locales</w:t>
        </w:r>
      </w:hyperlink>
      <w:r w:rsidRPr="00E07822">
        <w:rPr>
          <w:rFonts w:ascii="Arial" w:eastAsia="Times New Roman" w:hAnsi="Arial" w:cs="Arial"/>
          <w:color w:val="333333"/>
          <w:kern w:val="0"/>
          <w:sz w:val="24"/>
          <w:szCs w:val="24"/>
          <w:lang w:eastAsia="es-UY"/>
          <w14:ligatures w14:val="none"/>
        </w:rPr>
        <w:t> ». Una consideración inusual que ignora un punto importante.</w:t>
      </w:r>
    </w:p>
    <w:p w14:paraId="230FBDDF"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05EF71AE"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Si estamos de acuerdo en que la consideración igualitaria entre hombres y mujeres pertenece a la visión que ofrecen las </w:t>
      </w:r>
      <w:r w:rsidRPr="00E07822">
        <w:rPr>
          <w:rFonts w:ascii="Arial" w:eastAsia="Times New Roman" w:hAnsi="Arial" w:cs="Arial"/>
          <w:b/>
          <w:bCs/>
          <w:color w:val="333333"/>
          <w:kern w:val="0"/>
          <w:sz w:val="24"/>
          <w:szCs w:val="24"/>
          <w:lang w:eastAsia="es-UY"/>
          <w14:ligatures w14:val="none"/>
        </w:rPr>
        <w:t>Escrituras</w:t>
      </w:r>
      <w:r w:rsidRPr="00E07822">
        <w:rPr>
          <w:rFonts w:ascii="Arial" w:eastAsia="Times New Roman" w:hAnsi="Arial" w:cs="Arial"/>
          <w:color w:val="333333"/>
          <w:kern w:val="0"/>
          <w:sz w:val="24"/>
          <w:szCs w:val="24"/>
          <w:lang w:eastAsia="es-UY"/>
          <w14:ligatures w14:val="none"/>
        </w:rPr>
        <w:t xml:space="preserve"> , y el texto lo hace porque afirma que "esto significa que la asociación entre el hombre y la mujer </w:t>
      </w:r>
      <w:r w:rsidRPr="00E07822">
        <w:rPr>
          <w:rFonts w:ascii="Arial" w:eastAsia="Times New Roman" w:hAnsi="Arial" w:cs="Arial"/>
          <w:color w:val="333333"/>
          <w:kern w:val="0"/>
          <w:sz w:val="24"/>
          <w:szCs w:val="24"/>
          <w:lang w:eastAsia="es-UY"/>
          <w14:ligatures w14:val="none"/>
        </w:rPr>
        <w:lastRenderedPageBreak/>
        <w:t>precede a cualquier institución histórica, estando arraigada en la misma voluntad de Dios" (15), ¿no deberíamos referirnos a los esfuerzos de las mujeres para asegurar que esto suceda en estas regiones?</w:t>
      </w:r>
    </w:p>
    <w:p w14:paraId="7ECB1A76"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4DE8E36C"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No es que en ciertas regiones solo veamos lo que les impide progresar, sino ¿prestamos atención a las voces de los muchos teólogos de todo el mundo que trabajan para superar el </w:t>
      </w:r>
      <w:r w:rsidRPr="00E07822">
        <w:rPr>
          <w:rFonts w:ascii="Arial" w:eastAsia="Times New Roman" w:hAnsi="Arial" w:cs="Arial"/>
          <w:b/>
          <w:bCs/>
          <w:i/>
          <w:iCs/>
          <w:color w:val="333333"/>
          <w:kern w:val="0"/>
          <w:sz w:val="24"/>
          <w:szCs w:val="24"/>
          <w:lang w:eastAsia="es-UY"/>
          <w14:ligatures w14:val="none"/>
        </w:rPr>
        <w:t>statu quo</w:t>
      </w:r>
      <w:r w:rsidRPr="00E07822">
        <w:rPr>
          <w:rFonts w:ascii="Arial" w:eastAsia="Times New Roman" w:hAnsi="Arial" w:cs="Arial"/>
          <w:color w:val="333333"/>
          <w:kern w:val="0"/>
          <w:sz w:val="24"/>
          <w:szCs w:val="24"/>
          <w:lang w:eastAsia="es-UY"/>
          <w14:ligatures w14:val="none"/>
        </w:rPr>
        <w:t> ? Cuarto palillo.</w:t>
      </w:r>
    </w:p>
    <w:p w14:paraId="6B14879F"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7A697D73"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El número 12 es un acto de equilibrio: no recomienda ni el miedo ni la prisa. Sin embargo, hoy en día, el miedo prevalece, y pocos dirán "no tengan miedo", mientras que muchos dirán "sin prisas". Siempre nos vemos presionados por asuntos urgentes, y sin embargo, el </w:t>
      </w:r>
      <w:hyperlink r:id="rId15" w:tgtFrame="_blank" w:history="1">
        <w:r w:rsidRPr="00E07822">
          <w:rPr>
            <w:rFonts w:ascii="Arial" w:eastAsia="Times New Roman" w:hAnsi="Arial" w:cs="Arial"/>
            <w:color w:val="FC6B01"/>
            <w:kern w:val="0"/>
            <w:sz w:val="24"/>
            <w:szCs w:val="24"/>
            <w:u w:val="single"/>
            <w:lang w:eastAsia="es-UY"/>
            <w14:ligatures w14:val="none"/>
          </w:rPr>
          <w:t>silencioso distanciamiento de las mujeres de las iglesias</w:t>
        </w:r>
      </w:hyperlink>
      <w:r w:rsidRPr="00E07822">
        <w:rPr>
          <w:rFonts w:ascii="Arial" w:eastAsia="Times New Roman" w:hAnsi="Arial" w:cs="Arial"/>
          <w:color w:val="333333"/>
          <w:kern w:val="0"/>
          <w:sz w:val="24"/>
          <w:szCs w:val="24"/>
          <w:lang w:eastAsia="es-UY"/>
          <w14:ligatures w14:val="none"/>
        </w:rPr>
        <w:t> , e incluso de la Iglesia, exige que no haya prisas. Quinto palo.</w:t>
      </w:r>
    </w:p>
    <w:p w14:paraId="62881D3B"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3BFE8F1A"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El número 24 contextualiza la posibilidad de la responsabilidad compartida de las mujeres en la Iglesia dentro de la responsabilidad compartida más amplia de los laicos, y especifica que esto debe hacerse de una manera "que no sea simplemente una cuestión de reclamar derechos", una preocupación recurrente al hablar de las mujeres. Pero si consideramos las perspectivas igualitarias mencionadas anteriormente, en última instancia debe haber alguna afirmación. Sexto palo.</w:t>
      </w:r>
    </w:p>
    <w:p w14:paraId="2BD34F92"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2FC4A8B2"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En el número 38, la lectura de </w:t>
      </w:r>
      <w:r w:rsidRPr="00E07822">
        <w:rPr>
          <w:rFonts w:ascii="Arial" w:eastAsia="Times New Roman" w:hAnsi="Arial" w:cs="Arial"/>
          <w:b/>
          <w:bCs/>
          <w:color w:val="333333"/>
          <w:kern w:val="0"/>
          <w:sz w:val="24"/>
          <w:szCs w:val="24"/>
          <w:lang w:eastAsia="es-UY"/>
          <w14:ligatures w14:val="none"/>
        </w:rPr>
        <w:t>María</w:t>
      </w:r>
      <w:r w:rsidRPr="00E07822">
        <w:rPr>
          <w:rFonts w:ascii="Arial" w:eastAsia="Times New Roman" w:hAnsi="Arial" w:cs="Arial"/>
          <w:color w:val="333333"/>
          <w:kern w:val="0"/>
          <w:sz w:val="24"/>
          <w:szCs w:val="24"/>
          <w:lang w:eastAsia="es-UY"/>
          <w14:ligatures w14:val="none"/>
        </w:rPr>
        <w:t> reaparece como referencia a la dimensión carismática, mientras que la figura de </w:t>
      </w:r>
      <w:r w:rsidRPr="00E07822">
        <w:rPr>
          <w:rFonts w:ascii="Arial" w:eastAsia="Times New Roman" w:hAnsi="Arial" w:cs="Arial"/>
          <w:b/>
          <w:bCs/>
          <w:color w:val="333333"/>
          <w:kern w:val="0"/>
          <w:sz w:val="24"/>
          <w:szCs w:val="24"/>
          <w:lang w:eastAsia="es-UY"/>
          <w14:ligatures w14:val="none"/>
        </w:rPr>
        <w:t>Pedro</w:t>
      </w:r>
      <w:r w:rsidRPr="00E07822">
        <w:rPr>
          <w:rFonts w:ascii="Arial" w:eastAsia="Times New Roman" w:hAnsi="Arial" w:cs="Arial"/>
          <w:color w:val="333333"/>
          <w:kern w:val="0"/>
          <w:sz w:val="24"/>
          <w:szCs w:val="24"/>
          <w:lang w:eastAsia="es-UY"/>
          <w14:ligatures w14:val="none"/>
        </w:rPr>
        <w:t> alude implícitamente a la dimensión jerárquica o ministerial en sentido estricto. Andrea Grillo ya ha explorado este principio, que en realidad no es un principio, sino simplemente la reducción a eslogan de una afirmación problemática del teólogo </w:t>
      </w:r>
      <w:proofErr w:type="spellStart"/>
      <w:r w:rsidRPr="00E07822">
        <w:rPr>
          <w:rFonts w:ascii="Arial" w:eastAsia="Times New Roman" w:hAnsi="Arial" w:cs="Arial"/>
          <w:color w:val="333333"/>
          <w:kern w:val="0"/>
          <w:sz w:val="24"/>
          <w:szCs w:val="24"/>
          <w:lang w:eastAsia="es-UY"/>
          <w14:ligatures w14:val="none"/>
        </w:rPr>
        <w:fldChar w:fldCharType="begin"/>
      </w:r>
      <w:r w:rsidRPr="00E07822">
        <w:rPr>
          <w:rFonts w:ascii="Arial" w:eastAsia="Times New Roman" w:hAnsi="Arial" w:cs="Arial"/>
          <w:color w:val="333333"/>
          <w:kern w:val="0"/>
          <w:sz w:val="24"/>
          <w:szCs w:val="24"/>
          <w:lang w:eastAsia="es-UY"/>
          <w14:ligatures w14:val="none"/>
        </w:rPr>
        <w:instrText>HYPERLINK "https://www.ihu.unisinos.br/580382-urs-von-balthasar-de-teologo-%20%20inconveniente-a-quase-cardeal" \t "_blank"</w:instrText>
      </w:r>
      <w:r w:rsidRPr="00E07822">
        <w:rPr>
          <w:rFonts w:ascii="Arial" w:eastAsia="Times New Roman" w:hAnsi="Arial" w:cs="Arial"/>
          <w:color w:val="333333"/>
          <w:kern w:val="0"/>
          <w:sz w:val="24"/>
          <w:szCs w:val="24"/>
          <w:lang w:eastAsia="es-UY"/>
          <w14:ligatures w14:val="none"/>
        </w:rPr>
      </w:r>
      <w:r w:rsidRPr="00E07822">
        <w:rPr>
          <w:rFonts w:ascii="Arial" w:eastAsia="Times New Roman" w:hAnsi="Arial" w:cs="Arial"/>
          <w:color w:val="333333"/>
          <w:kern w:val="0"/>
          <w:sz w:val="24"/>
          <w:szCs w:val="24"/>
          <w:lang w:eastAsia="es-UY"/>
          <w14:ligatures w14:val="none"/>
        </w:rPr>
        <w:fldChar w:fldCharType="separate"/>
      </w:r>
      <w:r w:rsidRPr="00E07822">
        <w:rPr>
          <w:rFonts w:ascii="Arial" w:eastAsia="Times New Roman" w:hAnsi="Arial" w:cs="Arial"/>
          <w:color w:val="FC6B01"/>
          <w:kern w:val="0"/>
          <w:sz w:val="24"/>
          <w:szCs w:val="24"/>
          <w:u w:val="single"/>
          <w:lang w:eastAsia="es-UY"/>
          <w14:ligatures w14:val="none"/>
        </w:rPr>
        <w:t>von</w:t>
      </w:r>
      <w:proofErr w:type="spellEnd"/>
      <w:r w:rsidRPr="00E07822">
        <w:rPr>
          <w:rFonts w:ascii="Arial" w:eastAsia="Times New Roman" w:hAnsi="Arial" w:cs="Arial"/>
          <w:color w:val="FC6B01"/>
          <w:kern w:val="0"/>
          <w:sz w:val="24"/>
          <w:szCs w:val="24"/>
          <w:u w:val="single"/>
          <w:lang w:eastAsia="es-UY"/>
          <w14:ligatures w14:val="none"/>
        </w:rPr>
        <w:t xml:space="preserve"> Balthasar</w:t>
      </w:r>
      <w:r w:rsidRPr="00E07822">
        <w:rPr>
          <w:rFonts w:ascii="Arial" w:eastAsia="Times New Roman" w:hAnsi="Arial" w:cs="Arial"/>
          <w:color w:val="333333"/>
          <w:kern w:val="0"/>
          <w:sz w:val="24"/>
          <w:szCs w:val="24"/>
          <w:lang w:eastAsia="es-UY"/>
          <w14:ligatures w14:val="none"/>
        </w:rPr>
        <w:fldChar w:fldCharType="end"/>
      </w:r>
      <w:r w:rsidRPr="00E07822">
        <w:rPr>
          <w:rFonts w:ascii="Arial" w:eastAsia="Times New Roman" w:hAnsi="Arial" w:cs="Arial"/>
          <w:color w:val="333333"/>
          <w:kern w:val="0"/>
          <w:sz w:val="24"/>
          <w:szCs w:val="24"/>
          <w:lang w:eastAsia="es-UY"/>
          <w14:ligatures w14:val="none"/>
        </w:rPr>
        <w:t> . Una consideración metodológica bastará aquí.</w:t>
      </w:r>
    </w:p>
    <w:p w14:paraId="78C10CA0"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26887CBF"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Desde el principio —si se puede decir así— la reflexión sobre la teología de género ha puesto de relieve el peligro de esta generalización. En los encuentros entre </w:t>
      </w:r>
      <w:hyperlink r:id="rId16" w:tgtFrame="_blank" w:history="1">
        <w:r w:rsidRPr="00E07822">
          <w:rPr>
            <w:rFonts w:ascii="Arial" w:eastAsia="Times New Roman" w:hAnsi="Arial" w:cs="Arial"/>
            <w:color w:val="FC6B01"/>
            <w:kern w:val="0"/>
            <w:sz w:val="24"/>
            <w:szCs w:val="24"/>
            <w:u w:val="single"/>
            <w:lang w:eastAsia="es-UY"/>
            <w14:ligatures w14:val="none"/>
          </w:rPr>
          <w:t>el Papa Francisco y los nueve cardenales con quienes consultó</w:t>
        </w:r>
      </w:hyperlink>
      <w:r w:rsidRPr="00E07822">
        <w:rPr>
          <w:rFonts w:ascii="Arial" w:eastAsia="Times New Roman" w:hAnsi="Arial" w:cs="Arial"/>
          <w:color w:val="333333"/>
          <w:kern w:val="0"/>
          <w:sz w:val="24"/>
          <w:szCs w:val="24"/>
          <w:lang w:eastAsia="es-UY"/>
          <w14:ligatures w14:val="none"/>
        </w:rPr>
        <w:t> , se abordó el tema y, sobre todo, el texto de </w:t>
      </w:r>
      <w:r w:rsidRPr="00E07822">
        <w:rPr>
          <w:rFonts w:ascii="Arial" w:eastAsia="Times New Roman" w:hAnsi="Arial" w:cs="Arial"/>
          <w:b/>
          <w:bCs/>
          <w:color w:val="333333"/>
          <w:kern w:val="0"/>
          <w:sz w:val="24"/>
          <w:szCs w:val="24"/>
          <w:lang w:eastAsia="es-UY"/>
          <w14:ligatures w14:val="none"/>
        </w:rPr>
        <w:t>Vantini</w:t>
      </w:r>
      <w:r w:rsidRPr="00E07822">
        <w:rPr>
          <w:rFonts w:ascii="Arial" w:eastAsia="Times New Roman" w:hAnsi="Arial" w:cs="Arial"/>
          <w:color w:val="333333"/>
          <w:kern w:val="0"/>
          <w:sz w:val="24"/>
          <w:szCs w:val="24"/>
          <w:lang w:eastAsia="es-UY"/>
          <w14:ligatures w14:val="none"/>
        </w:rPr>
        <w:t> subraya cómo la referencia a este dicho ha sido, de hecho, un presagio de considerables dificultades e incomodidad para las mujeres, porque siempre se hace referencia a ellas.</w:t>
      </w:r>
    </w:p>
    <w:p w14:paraId="3B0D6920"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5D267B2F"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Entonces, ¿por qué no afirmar simplemente, como un hecho, que los carismas “no son una realidad subjetiva y marginal, sino un don objetivo ante muchas necesidades urgentes de las personas que normalmente no son atendidas por los medios estructurales de la Iglesia” (35)? Sexto palo.</w:t>
      </w:r>
    </w:p>
    <w:p w14:paraId="2B7F187B"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2850A513"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El texto presenta afirmaciones más que aceptables y de sobra conocidas. Su acogida en un estudio institucional es positiva. El llamado a revisar la reflexión sobre la autoridad resulta interesante. Sin embargo, el documento contiene puntos que permitirán que las bellas palabras, sin duda presentes, se mantengan firmes y no den lugar a litigios, ya que el enfoque estará en los elementos que las limitan.</w:t>
      </w:r>
    </w:p>
    <w:p w14:paraId="79ECF1AC"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38D98C11"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 xml:space="preserve">¿Acaso las mujeres nunca han estado satisfechas? Sí, porque la cuestión no radica en satisfacerlas, sino en generar procesos que limiten el clericalismo </w:t>
      </w:r>
      <w:r w:rsidRPr="00E07822">
        <w:rPr>
          <w:rFonts w:ascii="Arial" w:eastAsia="Times New Roman" w:hAnsi="Arial" w:cs="Arial"/>
          <w:color w:val="333333"/>
          <w:kern w:val="0"/>
          <w:sz w:val="24"/>
          <w:szCs w:val="24"/>
          <w:lang w:eastAsia="es-UY"/>
          <w14:ligatures w14:val="none"/>
        </w:rPr>
        <w:lastRenderedPageBreak/>
        <w:t>patriarcal o, si se prefiere, </w:t>
      </w:r>
      <w:r w:rsidRPr="00E07822">
        <w:rPr>
          <w:rFonts w:ascii="Arial" w:eastAsia="Times New Roman" w:hAnsi="Arial" w:cs="Arial"/>
          <w:b/>
          <w:bCs/>
          <w:color w:val="333333"/>
          <w:kern w:val="0"/>
          <w:sz w:val="24"/>
          <w:szCs w:val="24"/>
          <w:lang w:eastAsia="es-UY"/>
          <w14:ligatures w14:val="none"/>
        </w:rPr>
        <w:t>el patriarcado clerical</w:t>
      </w:r>
      <w:r w:rsidRPr="00E07822">
        <w:rPr>
          <w:rFonts w:ascii="Arial" w:eastAsia="Times New Roman" w:hAnsi="Arial" w:cs="Arial"/>
          <w:color w:val="333333"/>
          <w:kern w:val="0"/>
          <w:sz w:val="24"/>
          <w:szCs w:val="24"/>
          <w:lang w:eastAsia="es-UY"/>
          <w14:ligatures w14:val="none"/>
        </w:rPr>
        <w:t> . Resulta interesante que tanto </w:t>
      </w:r>
      <w:hyperlink r:id="rId17" w:tgtFrame="_blank" w:history="1">
        <w:r w:rsidRPr="00E07822">
          <w:rPr>
            <w:rFonts w:ascii="Arial" w:eastAsia="Times New Roman" w:hAnsi="Arial" w:cs="Arial"/>
            <w:color w:val="FC6B01"/>
            <w:kern w:val="0"/>
            <w:sz w:val="24"/>
            <w:szCs w:val="24"/>
            <w:u w:val="single"/>
            <w:lang w:eastAsia="es-UY"/>
            <w14:ligatures w14:val="none"/>
          </w:rPr>
          <w:t>Hildegarda</w:t>
        </w:r>
      </w:hyperlink>
      <w:r w:rsidRPr="00E07822">
        <w:rPr>
          <w:rFonts w:ascii="Arial" w:eastAsia="Times New Roman" w:hAnsi="Arial" w:cs="Arial"/>
          <w:color w:val="333333"/>
          <w:kern w:val="0"/>
          <w:sz w:val="24"/>
          <w:szCs w:val="24"/>
          <w:lang w:eastAsia="es-UY"/>
          <w14:ligatures w14:val="none"/>
        </w:rPr>
        <w:t> como </w:t>
      </w:r>
      <w:hyperlink r:id="rId18" w:tgtFrame="_blank" w:history="1">
        <w:r w:rsidRPr="00E07822">
          <w:rPr>
            <w:rFonts w:ascii="Arial" w:eastAsia="Times New Roman" w:hAnsi="Arial" w:cs="Arial"/>
            <w:color w:val="FC6B01"/>
            <w:kern w:val="0"/>
            <w:sz w:val="24"/>
            <w:szCs w:val="24"/>
            <w:u w:val="single"/>
            <w:lang w:eastAsia="es-UY"/>
            <w14:ligatures w14:val="none"/>
          </w:rPr>
          <w:t>Santa Teresa de Ávila</w:t>
        </w:r>
      </w:hyperlink>
      <w:r w:rsidRPr="00E07822">
        <w:rPr>
          <w:rFonts w:ascii="Arial" w:eastAsia="Times New Roman" w:hAnsi="Arial" w:cs="Arial"/>
          <w:color w:val="333333"/>
          <w:kern w:val="0"/>
          <w:sz w:val="24"/>
          <w:szCs w:val="24"/>
          <w:lang w:eastAsia="es-UY"/>
          <w14:ligatures w14:val="none"/>
        </w:rPr>
        <w:t> , con casi tres siglos de diferencia, sintieran la necesidad de reiterar que sus secretarias solo revisaban el latín de sus escritos, no el contenido, aun demostrando humildad como escritoras. Las mujeres ya han hablado y escuchado tantas palabras; lo que quieren es ver juicios.</w:t>
      </w:r>
    </w:p>
    <w:p w14:paraId="3171FA71" w14:textId="77777777"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0CDF2A91" w14:textId="77777777" w:rsid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r w:rsidRPr="00E07822">
        <w:rPr>
          <w:rFonts w:ascii="Arial" w:eastAsia="Times New Roman" w:hAnsi="Arial" w:cs="Arial"/>
          <w:color w:val="333333"/>
          <w:kern w:val="0"/>
          <w:sz w:val="24"/>
          <w:szCs w:val="24"/>
          <w:lang w:eastAsia="es-UY"/>
          <w14:ligatures w14:val="none"/>
        </w:rPr>
        <w:t xml:space="preserve">Muchas mujeres tienen experiencias positivas, pero </w:t>
      </w:r>
      <w:proofErr w:type="spellStart"/>
      <w:r w:rsidRPr="00E07822">
        <w:rPr>
          <w:rFonts w:ascii="Arial" w:eastAsia="Times New Roman" w:hAnsi="Arial" w:cs="Arial"/>
          <w:color w:val="333333"/>
          <w:kern w:val="0"/>
          <w:sz w:val="24"/>
          <w:szCs w:val="24"/>
          <w:lang w:eastAsia="es-UY"/>
          <w14:ligatures w14:val="none"/>
        </w:rPr>
        <w:t>aún</w:t>
      </w:r>
      <w:proofErr w:type="spellEnd"/>
      <w:r w:rsidRPr="00E07822">
        <w:rPr>
          <w:rFonts w:ascii="Arial" w:eastAsia="Times New Roman" w:hAnsi="Arial" w:cs="Arial"/>
          <w:color w:val="333333"/>
          <w:kern w:val="0"/>
          <w:sz w:val="24"/>
          <w:szCs w:val="24"/>
          <w:lang w:eastAsia="es-UY"/>
          <w14:ligatures w14:val="none"/>
        </w:rPr>
        <w:t xml:space="preserve"> así depende mucho del azar. Y si, por casualidad, un sacerdote u obispo menos ilustrado está a cargo, las palabras positivas del documento no tendrán ningún efecto, pues quedarán ocultas.</w:t>
      </w:r>
    </w:p>
    <w:p w14:paraId="5D4D1F2E" w14:textId="36D1D7C5" w:rsidR="00E07822" w:rsidRPr="00E07822" w:rsidRDefault="00E07822" w:rsidP="00E07822">
      <w:pPr>
        <w:spacing w:after="0" w:line="240" w:lineRule="auto"/>
        <w:jc w:val="both"/>
        <w:rPr>
          <w:rFonts w:ascii="Arial" w:eastAsia="Times New Roman" w:hAnsi="Arial" w:cs="Arial"/>
          <w:color w:val="333333"/>
          <w:kern w:val="0"/>
          <w:sz w:val="24"/>
          <w:szCs w:val="24"/>
          <w:lang w:eastAsia="es-UY"/>
          <w14:ligatures w14:val="none"/>
        </w:rPr>
      </w:pPr>
    </w:p>
    <w:p w14:paraId="2C20C8E1" w14:textId="454650E4" w:rsidR="00926044" w:rsidRDefault="00E07822">
      <w:hyperlink r:id="rId19" w:history="1">
        <w:r w:rsidRPr="006E347D">
          <w:rPr>
            <w:rStyle w:val="Hipervnculo"/>
          </w:rPr>
          <w:t>https://www.ihu.unisinos.br/663557-participacao-das-mulheres-na-igreja-paus-e-cercas-artigo-de-elsa-antoniazzi</w:t>
        </w:r>
      </w:hyperlink>
    </w:p>
    <w:p w14:paraId="218585EA" w14:textId="77777777" w:rsidR="00E07822" w:rsidRDefault="00E07822"/>
    <w:sectPr w:rsidR="00E078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822"/>
    <w:rsid w:val="00032109"/>
    <w:rsid w:val="00926044"/>
    <w:rsid w:val="00DE17AC"/>
    <w:rsid w:val="00E0782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786E"/>
  <w15:chartTrackingRefBased/>
  <w15:docId w15:val="{79A16215-CBF8-4770-9A94-7C190D4F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078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078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0782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0782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0782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078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078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078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0782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782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0782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0782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0782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0782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0782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0782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0782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07822"/>
    <w:rPr>
      <w:rFonts w:eastAsiaTheme="majorEastAsia" w:cstheme="majorBidi"/>
      <w:color w:val="272727" w:themeColor="text1" w:themeTint="D8"/>
    </w:rPr>
  </w:style>
  <w:style w:type="paragraph" w:styleId="Ttulo">
    <w:name w:val="Title"/>
    <w:basedOn w:val="Normal"/>
    <w:next w:val="Normal"/>
    <w:link w:val="TtuloCar"/>
    <w:uiPriority w:val="10"/>
    <w:qFormat/>
    <w:rsid w:val="00E078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078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0782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0782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07822"/>
    <w:pPr>
      <w:spacing w:before="160"/>
      <w:jc w:val="center"/>
    </w:pPr>
    <w:rPr>
      <w:i/>
      <w:iCs/>
      <w:color w:val="404040" w:themeColor="text1" w:themeTint="BF"/>
    </w:rPr>
  </w:style>
  <w:style w:type="character" w:customStyle="1" w:styleId="CitaCar">
    <w:name w:val="Cita Car"/>
    <w:basedOn w:val="Fuentedeprrafopredeter"/>
    <w:link w:val="Cita"/>
    <w:uiPriority w:val="29"/>
    <w:rsid w:val="00E07822"/>
    <w:rPr>
      <w:i/>
      <w:iCs/>
      <w:color w:val="404040" w:themeColor="text1" w:themeTint="BF"/>
    </w:rPr>
  </w:style>
  <w:style w:type="paragraph" w:styleId="Prrafodelista">
    <w:name w:val="List Paragraph"/>
    <w:basedOn w:val="Normal"/>
    <w:uiPriority w:val="34"/>
    <w:qFormat/>
    <w:rsid w:val="00E07822"/>
    <w:pPr>
      <w:ind w:left="720"/>
      <w:contextualSpacing/>
    </w:pPr>
  </w:style>
  <w:style w:type="character" w:styleId="nfasisintenso">
    <w:name w:val="Intense Emphasis"/>
    <w:basedOn w:val="Fuentedeprrafopredeter"/>
    <w:uiPriority w:val="21"/>
    <w:qFormat/>
    <w:rsid w:val="00E07822"/>
    <w:rPr>
      <w:i/>
      <w:iCs/>
      <w:color w:val="0F4761" w:themeColor="accent1" w:themeShade="BF"/>
    </w:rPr>
  </w:style>
  <w:style w:type="paragraph" w:styleId="Citadestacada">
    <w:name w:val="Intense Quote"/>
    <w:basedOn w:val="Normal"/>
    <w:next w:val="Normal"/>
    <w:link w:val="CitadestacadaCar"/>
    <w:uiPriority w:val="30"/>
    <w:qFormat/>
    <w:rsid w:val="00E078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07822"/>
    <w:rPr>
      <w:i/>
      <w:iCs/>
      <w:color w:val="0F4761" w:themeColor="accent1" w:themeShade="BF"/>
    </w:rPr>
  </w:style>
  <w:style w:type="character" w:styleId="Referenciaintensa">
    <w:name w:val="Intense Reference"/>
    <w:basedOn w:val="Fuentedeprrafopredeter"/>
    <w:uiPriority w:val="32"/>
    <w:qFormat/>
    <w:rsid w:val="00E07822"/>
    <w:rPr>
      <w:b/>
      <w:bCs/>
      <w:smallCaps/>
      <w:color w:val="0F4761" w:themeColor="accent1" w:themeShade="BF"/>
      <w:spacing w:val="5"/>
    </w:rPr>
  </w:style>
  <w:style w:type="character" w:styleId="Hipervnculo">
    <w:name w:val="Hyperlink"/>
    <w:basedOn w:val="Fuentedeprrafopredeter"/>
    <w:uiPriority w:val="99"/>
    <w:unhideWhenUsed/>
    <w:rsid w:val="00E07822"/>
    <w:rPr>
      <w:color w:val="467886" w:themeColor="hyperlink"/>
      <w:u w:val="single"/>
    </w:rPr>
  </w:style>
  <w:style w:type="character" w:styleId="Mencinsinresolver">
    <w:name w:val="Unresolved Mention"/>
    <w:basedOn w:val="Fuentedeprrafopredeter"/>
    <w:uiPriority w:val="99"/>
    <w:semiHidden/>
    <w:unhideWhenUsed/>
    <w:rsid w:val="00E07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63478-o-relatorio-final-do-sinodo-sobre-as-mulheres-o-que-diz-o-que-significa-e-o-que-vem-a-seguir" TargetMode="External"/><Relationship Id="rId13" Type="http://schemas.openxmlformats.org/officeDocument/2006/relationships/hyperlink" Target="https://www.ihu.unisinos.br/663376-a-igreja-precisa-da-lideranca-das-mulheres-e-nao-ha-nada-que-a-impeca-nem-o-facto-de-nao-poderem-ser-ordenadas" TargetMode="External"/><Relationship Id="rId18" Type="http://schemas.openxmlformats.org/officeDocument/2006/relationships/hyperlink" Target="https://ihu.unisinos.br/categorias/192-paginas-especiais/591974-vozes-que-desafiam-teresa-de-avila"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ihu.unisinos.br/657978-a-biblia-geralmente-tem-menos-reservas-sobre-as-mulheres-do-que-a-ordem-de-leitura-entrevista-com-annette-jantzen-teologa" TargetMode="External"/><Relationship Id="rId12" Type="http://schemas.openxmlformats.org/officeDocument/2006/relationships/hyperlink" Target="https://ihu.unisinos.br/categorias/596598-as-mulheres-sao-o-unico-coletivo-humano-com-o-qual-jesus-jamais-teve-algum-problema-artigo-de-jose-maria-castillo" TargetMode="External"/><Relationship Id="rId17" Type="http://schemas.openxmlformats.org/officeDocument/2006/relationships/hyperlink" Target="https://ihu.unisinos.br/categorias/192-paginas-especiais/622138-hildegard-von-bingen-autentica-mestra-de-teologia-e-profunda-estudiosa-das-ciencias-naturais-e-da-musica" TargetMode="External"/><Relationship Id="rId2" Type="http://schemas.openxmlformats.org/officeDocument/2006/relationships/settings" Target="settings.xml"/><Relationship Id="rId16" Type="http://schemas.openxmlformats.org/officeDocument/2006/relationships/hyperlink" Target="https://ihu.unisinos.br/640501-papa-francisco-continua-abrindo-o-conselho-consultivo-de-cardeais-c9-para-debates-sobre-o-papel-da-mulher-na-igreja"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ynod.va/content/dam/synod/process/implementation/10workinggroups/final-reports/sg5/GS-5_POR_Sintese.pdf" TargetMode="External"/><Relationship Id="rId11" Type="http://schemas.openxmlformats.org/officeDocument/2006/relationships/hyperlink" Target="https://www.ihu.unisinos.br/categorias/192-paginas-especiais/590613-mulheres-discipulas-profetisas-e-diaconas-do-novo-testamento-vozes-e-presencas-que-desafiam-a-igreja-hoje" TargetMode="External"/><Relationship Id="rId5" Type="http://schemas.openxmlformats.org/officeDocument/2006/relationships/hyperlink" Target="https://ihu.unisinos.br/categorias/637862-epistolar-teologico-sobre-a-questao-do-mal" TargetMode="External"/><Relationship Id="rId15" Type="http://schemas.openxmlformats.org/officeDocument/2006/relationships/hyperlink" Target="https://ihu.unisinos.br/categorias/643912-donne-chiesa-mondo-analisa-o-exodo-silencioso-das-mulheres-na-igreja" TargetMode="External"/><Relationship Id="rId10" Type="http://schemas.openxmlformats.org/officeDocument/2006/relationships/hyperlink" Target="https://ihu.unisinos.br/categorias/639940-jaco-luta-com-o-adversario-e-finalmente-conhece-a-si-mesmo" TargetMode="External"/><Relationship Id="rId19" Type="http://schemas.openxmlformats.org/officeDocument/2006/relationships/hyperlink" Target="https://www.ihu.unisinos.br/663557-participacao-das-mulheres-na-igreja-paus-e-cercas-artigo-de-elsa-antoniazzi" TargetMode="External"/><Relationship Id="rId4" Type="http://schemas.openxmlformats.org/officeDocument/2006/relationships/image" Target="media/image1.png"/><Relationship Id="rId9" Type="http://schemas.openxmlformats.org/officeDocument/2006/relationships/hyperlink" Target="https://www.ihu.unisinos.br/663241-redescobrindo-as-mulheres-ardentes-e-esquecidas-do-antigo-testamento-artigo-de-alli-bobzien" TargetMode="External"/><Relationship Id="rId14" Type="http://schemas.openxmlformats.org/officeDocument/2006/relationships/hyperlink" Target="https://www.ihu.unisinos.br/663376-a-igreja-precisa-da-lideranca-das-mulheres-e-nao-ha-nada-que-a-impeca-nem-o-facto-de-nao-poderem-ser-ordenad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1752</Words>
  <Characters>9636</Characters>
  <Application>Microsoft Office Word</Application>
  <DocSecurity>0</DocSecurity>
  <Lines>80</Lines>
  <Paragraphs>22</Paragraphs>
  <ScaleCrop>false</ScaleCrop>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2026-03-17T17:03:00Z</dcterms:created>
  <dcterms:modified xsi:type="dcterms:W3CDTF">2026-03-17T17:05:00Z</dcterms:modified>
</cp:coreProperties>
</file>