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4E81" w14:textId="77777777" w:rsidR="00D53A13" w:rsidRPr="00D53A13" w:rsidRDefault="00D53A13" w:rsidP="00D53A13">
      <w:pPr>
        <w:shd w:val="clear" w:color="auto" w:fill="FFFFFF"/>
        <w:spacing w:before="280" w:after="6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b/>
          <w:bCs/>
          <w:color w:val="000000"/>
          <w:kern w:val="0"/>
          <w:sz w:val="52"/>
          <w:szCs w:val="52"/>
          <w:lang w:eastAsia="es-UY"/>
          <w14:ligatures w14:val="none"/>
        </w:rPr>
        <w:t>La paradoja de Artemis II: 13 toneladas de combustible por segundo tras la fachada de "misión limpia"</w:t>
      </w:r>
    </w:p>
    <w:p w14:paraId="47E81645" w14:textId="52EBF1AC" w:rsidR="00D53A13" w:rsidRPr="00D53A13" w:rsidRDefault="00D53A13" w:rsidP="00D53A13">
      <w:pPr>
        <w:spacing w:after="0" w:line="240" w:lineRule="auto"/>
        <w:jc w:val="both"/>
        <w:rPr>
          <w:rFonts w:ascii="Times New Roman" w:eastAsia="Times New Roman" w:hAnsi="Times New Roman" w:cs="Times New Roman"/>
          <w:kern w:val="0"/>
          <w:sz w:val="24"/>
          <w:szCs w:val="24"/>
          <w:lang w:eastAsia="es-UY"/>
          <w14:ligatures w14:val="none"/>
        </w:rPr>
      </w:pPr>
    </w:p>
    <w:p w14:paraId="2DAB3786" w14:textId="77777777" w:rsidR="00D53A13" w:rsidRPr="00D53A13" w:rsidRDefault="00D53A13" w:rsidP="00D53A13">
      <w:pPr>
        <w:shd w:val="clear" w:color="auto" w:fill="FFFFFF"/>
        <w:spacing w:before="280" w:after="6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t>La NASA completó la carga del colosal cohete SLS en los días previos a su despegue, materializando el regreso de la humanidad a las proximidades de la Luna tras más de </w:t>
      </w:r>
      <w:r w:rsidRPr="00D53A13">
        <w:rPr>
          <w:rFonts w:ascii="Arial" w:eastAsia="Times New Roman" w:hAnsi="Arial" w:cs="Arial"/>
          <w:b/>
          <w:bCs/>
          <w:color w:val="000000"/>
          <w:kern w:val="0"/>
          <w:lang w:eastAsia="es-UY"/>
          <w14:ligatures w14:val="none"/>
        </w:rPr>
        <w:t>50 años</w:t>
      </w:r>
      <w:r w:rsidRPr="00D53A13">
        <w:rPr>
          <w:rFonts w:ascii="Arial" w:eastAsia="Times New Roman" w:hAnsi="Arial" w:cs="Arial"/>
          <w:color w:val="000000"/>
          <w:kern w:val="0"/>
          <w:lang w:eastAsia="es-UY"/>
          <w14:ligatures w14:val="none"/>
        </w:rPr>
        <w:t> de ausencia. Aunque la narrativa institucional resaltó el uso de propulsantes limpios para recorrer los </w:t>
      </w:r>
      <w:r w:rsidRPr="00D53A13">
        <w:rPr>
          <w:rFonts w:ascii="Arial" w:eastAsia="Times New Roman" w:hAnsi="Arial" w:cs="Arial"/>
          <w:b/>
          <w:bCs/>
          <w:color w:val="000000"/>
          <w:kern w:val="0"/>
          <w:lang w:eastAsia="es-UY"/>
          <w14:ligatures w14:val="none"/>
        </w:rPr>
        <w:t>384.000 kilómetros</w:t>
      </w:r>
      <w:r w:rsidRPr="00D53A13">
        <w:rPr>
          <w:rFonts w:ascii="Arial" w:eastAsia="Times New Roman" w:hAnsi="Arial" w:cs="Arial"/>
          <w:color w:val="000000"/>
          <w:kern w:val="0"/>
          <w:lang w:eastAsia="es-UY"/>
          <w14:ligatures w14:val="none"/>
        </w:rPr>
        <w:t> del trayecto de ida y vuelta en su misión de </w:t>
      </w:r>
      <w:r w:rsidRPr="00D53A13">
        <w:rPr>
          <w:rFonts w:ascii="Arial" w:eastAsia="Times New Roman" w:hAnsi="Arial" w:cs="Arial"/>
          <w:b/>
          <w:bCs/>
          <w:color w:val="000000"/>
          <w:kern w:val="0"/>
          <w:lang w:eastAsia="es-UY"/>
          <w14:ligatures w14:val="none"/>
        </w:rPr>
        <w:t>10 días</w:t>
      </w:r>
      <w:r w:rsidRPr="00D53A13">
        <w:rPr>
          <w:rFonts w:ascii="Arial" w:eastAsia="Times New Roman" w:hAnsi="Arial" w:cs="Arial"/>
          <w:color w:val="000000"/>
          <w:kern w:val="0"/>
          <w:lang w:eastAsia="es-UY"/>
          <w14:ligatures w14:val="none"/>
        </w:rPr>
        <w:t>, la industria aeroespacial sigue atada a procesos contaminantes. La inmensa huella de carbono derivada de la producción industrial de hidrógeno y la utilización masiva de hidrocarburos cuestionan seriamente la viabilidad ecológica de la exploración espacial en un contexto fuertemente marcado por el</w:t>
      </w:r>
      <w:hyperlink r:id="rId5" w:tgtFrame="_blank" w:history="1">
        <w:r w:rsidRPr="00D53A13">
          <w:rPr>
            <w:rFonts w:ascii="Arial" w:eastAsia="Times New Roman" w:hAnsi="Arial" w:cs="Arial"/>
            <w:color w:val="000000"/>
            <w:kern w:val="0"/>
            <w:u w:val="single"/>
            <w:lang w:eastAsia="es-UY"/>
            <w14:ligatures w14:val="none"/>
          </w:rPr>
          <w:t> </w:t>
        </w:r>
        <w:r w:rsidRPr="00D53A13">
          <w:rPr>
            <w:rFonts w:ascii="Arial" w:eastAsia="Times New Roman" w:hAnsi="Arial" w:cs="Arial"/>
            <w:color w:val="1155CC"/>
            <w:kern w:val="0"/>
            <w:u w:val="single"/>
            <w:lang w:eastAsia="es-UY"/>
            <w14:ligatures w14:val="none"/>
          </w:rPr>
          <w:t>cambio climático</w:t>
        </w:r>
      </w:hyperlink>
      <w:r w:rsidRPr="00D53A13">
        <w:rPr>
          <w:rFonts w:ascii="Arial" w:eastAsia="Times New Roman" w:hAnsi="Arial" w:cs="Arial"/>
          <w:color w:val="000000"/>
          <w:kern w:val="0"/>
          <w:lang w:eastAsia="es-UY"/>
          <w14:ligatures w14:val="none"/>
        </w:rPr>
        <w:t>.</w:t>
      </w:r>
    </w:p>
    <w:p w14:paraId="1C7DDD15" w14:textId="77777777" w:rsidR="00D53A13" w:rsidRPr="00D53A13" w:rsidRDefault="00D53A13" w:rsidP="00D53A13">
      <w:pPr>
        <w:shd w:val="clear" w:color="auto" w:fill="FFFFFF"/>
        <w:spacing w:before="280" w:after="120" w:line="240" w:lineRule="auto"/>
        <w:jc w:val="both"/>
        <w:outlineLvl w:val="1"/>
        <w:rPr>
          <w:rFonts w:ascii="Arial" w:eastAsia="Times New Roman" w:hAnsi="Arial" w:cs="Arial"/>
          <w:b/>
          <w:bCs/>
          <w:color w:val="222222"/>
          <w:kern w:val="0"/>
          <w:sz w:val="36"/>
          <w:szCs w:val="36"/>
          <w:lang w:eastAsia="es-UY"/>
          <w14:ligatures w14:val="none"/>
        </w:rPr>
      </w:pPr>
      <w:r w:rsidRPr="00D53A13">
        <w:rPr>
          <w:rFonts w:ascii="Arial" w:eastAsia="Times New Roman" w:hAnsi="Arial" w:cs="Arial"/>
          <w:b/>
          <w:bCs/>
          <w:color w:val="000000"/>
          <w:kern w:val="0"/>
          <w:sz w:val="32"/>
          <w:szCs w:val="32"/>
          <w:lang w:eastAsia="es-UY"/>
          <w14:ligatures w14:val="none"/>
        </w:rPr>
        <w:t>Mito ecológico del hidrógeno líquido</w:t>
      </w:r>
    </w:p>
    <w:p w14:paraId="23973A75" w14:textId="77777777" w:rsidR="00D53A13" w:rsidRPr="00D53A13" w:rsidRDefault="00D53A13" w:rsidP="00D53A1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t>El cohete SLS, el más potente jamás construido por la agencia, fundamentó su propulsión en la mezcla de </w:t>
      </w:r>
      <w:r w:rsidRPr="00D53A13">
        <w:rPr>
          <w:rFonts w:ascii="Arial" w:eastAsia="Times New Roman" w:hAnsi="Arial" w:cs="Arial"/>
          <w:b/>
          <w:bCs/>
          <w:color w:val="000000"/>
          <w:kern w:val="0"/>
          <w:lang w:eastAsia="es-UY"/>
          <w14:ligatures w14:val="none"/>
        </w:rPr>
        <w:t>más de 2,6 millones de litros (unos 700.000 galones)</w:t>
      </w:r>
      <w:r w:rsidRPr="00D53A13">
        <w:rPr>
          <w:rFonts w:ascii="Arial" w:eastAsia="Times New Roman" w:hAnsi="Arial" w:cs="Arial"/>
          <w:color w:val="000000"/>
          <w:kern w:val="0"/>
          <w:lang w:eastAsia="es-UY"/>
          <w14:ligatures w14:val="none"/>
        </w:rPr>
        <w:t> de oxígeno e hidrógeno a temperaturas criogénicas. Esta reacción generó principalmente vapor de agua durante el lanzamiento, permitiendo a las agencias proyectar una imagen de sostenibilidad técnica, simulando el uso de</w:t>
      </w:r>
      <w:hyperlink r:id="rId6" w:tgtFrame="_blank" w:history="1">
        <w:r w:rsidRPr="00D53A13">
          <w:rPr>
            <w:rFonts w:ascii="Arial" w:eastAsia="Times New Roman" w:hAnsi="Arial" w:cs="Arial"/>
            <w:color w:val="000000"/>
            <w:kern w:val="0"/>
            <w:u w:val="single"/>
            <w:lang w:eastAsia="es-UY"/>
            <w14:ligatures w14:val="none"/>
          </w:rPr>
          <w:t> </w:t>
        </w:r>
        <w:r w:rsidRPr="00D53A13">
          <w:rPr>
            <w:rFonts w:ascii="Arial" w:eastAsia="Times New Roman" w:hAnsi="Arial" w:cs="Arial"/>
            <w:color w:val="1155CC"/>
            <w:kern w:val="0"/>
            <w:u w:val="single"/>
            <w:lang w:eastAsia="es-UY"/>
            <w14:ligatures w14:val="none"/>
          </w:rPr>
          <w:t>hidrógeno verde</w:t>
        </w:r>
      </w:hyperlink>
      <w:r w:rsidRPr="00D53A13">
        <w:rPr>
          <w:rFonts w:ascii="Arial" w:eastAsia="Times New Roman" w:hAnsi="Arial" w:cs="Arial"/>
          <w:color w:val="000000"/>
          <w:kern w:val="0"/>
          <w:lang w:eastAsia="es-UY"/>
          <w14:ligatures w14:val="none"/>
        </w:rPr>
        <w:t>. Sin embargo, la obtención industrial de estas reservas —extremadamente volátiles y complejas de manejar por los problemas de fugas que tuvieron que ser solventados antes de la cuenta atrás— requirió reformado con gas natural.</w:t>
      </w:r>
    </w:p>
    <w:p w14:paraId="7BAA6D72" w14:textId="77777777" w:rsidR="00D53A13" w:rsidRPr="00D53A13" w:rsidRDefault="00D53A13" w:rsidP="00D53A1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t>La producción a gran escala evidencia una paradoja ineludible. Detrás de la aparente limpieza de unos motores que devoraron </w:t>
      </w:r>
      <w:r w:rsidRPr="00D53A13">
        <w:rPr>
          <w:rFonts w:ascii="Arial" w:eastAsia="Times New Roman" w:hAnsi="Arial" w:cs="Arial"/>
          <w:b/>
          <w:bCs/>
          <w:color w:val="000000"/>
          <w:kern w:val="0"/>
          <w:lang w:eastAsia="es-UY"/>
          <w14:ligatures w14:val="none"/>
        </w:rPr>
        <w:t>13 toneladas de combustible por segundo</w:t>
      </w:r>
      <w:r w:rsidRPr="00D53A13">
        <w:rPr>
          <w:rFonts w:ascii="Arial" w:eastAsia="Times New Roman" w:hAnsi="Arial" w:cs="Arial"/>
          <w:color w:val="000000"/>
          <w:kern w:val="0"/>
          <w:lang w:eastAsia="es-UY"/>
          <w14:ligatures w14:val="none"/>
        </w:rPr>
        <w:t> al abandonar la plataforma, operan infraestructuras altamente demandantes de energía fósil para la licuefacción. El balance de emisiones invalida el discurso ecológico promocionado y revela un coste medioambiental desproporcionado que se mantiene alejado del escrutinio público.</w:t>
      </w:r>
    </w:p>
    <w:p w14:paraId="5435B18A" w14:textId="77777777" w:rsidR="00D53A13" w:rsidRPr="00D53A13" w:rsidRDefault="00D53A13" w:rsidP="00D53A13">
      <w:pPr>
        <w:shd w:val="clear" w:color="auto" w:fill="FFFFFF"/>
        <w:spacing w:before="280" w:after="120" w:line="240" w:lineRule="auto"/>
        <w:jc w:val="both"/>
        <w:outlineLvl w:val="1"/>
        <w:rPr>
          <w:rFonts w:ascii="Arial" w:eastAsia="Times New Roman" w:hAnsi="Arial" w:cs="Arial"/>
          <w:b/>
          <w:bCs/>
          <w:color w:val="222222"/>
          <w:kern w:val="0"/>
          <w:sz w:val="36"/>
          <w:szCs w:val="36"/>
          <w:lang w:eastAsia="es-UY"/>
          <w14:ligatures w14:val="none"/>
        </w:rPr>
      </w:pPr>
      <w:r w:rsidRPr="00D53A13">
        <w:rPr>
          <w:rFonts w:ascii="Arial" w:eastAsia="Times New Roman" w:hAnsi="Arial" w:cs="Arial"/>
          <w:b/>
          <w:bCs/>
          <w:color w:val="000000"/>
          <w:kern w:val="0"/>
          <w:sz w:val="32"/>
          <w:szCs w:val="32"/>
          <w:lang w:eastAsia="es-UY"/>
          <w14:ligatures w14:val="none"/>
        </w:rPr>
        <w:t>Dependencia estructural de los hidrocarburos</w:t>
      </w:r>
    </w:p>
    <w:p w14:paraId="2AE8D02E" w14:textId="77777777" w:rsidR="00D53A13" w:rsidRPr="00D53A13" w:rsidRDefault="00D53A13" w:rsidP="00D53A1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t>Más allá del inmenso tanque central criogénico, la arquitectura de la misión exigió cantidades colosales de crudo. Aunque se defendió como un sistema híbrido con tecnologías distintas, los elementos críticos de su diseño delataron su origen fósil:</w:t>
      </w:r>
    </w:p>
    <w:p w14:paraId="40872E68" w14:textId="77777777" w:rsidR="00D53A13" w:rsidRPr="00D53A13" w:rsidRDefault="00D53A13" w:rsidP="00D53A13">
      <w:pPr>
        <w:numPr>
          <w:ilvl w:val="0"/>
          <w:numId w:val="1"/>
        </w:numPr>
        <w:spacing w:before="240" w:after="0" w:line="240" w:lineRule="auto"/>
        <w:ind w:left="945"/>
        <w:jc w:val="both"/>
        <w:textAlignment w:val="baseline"/>
        <w:rPr>
          <w:rFonts w:ascii="Arial" w:eastAsia="Times New Roman" w:hAnsi="Arial" w:cs="Arial"/>
          <w:color w:val="000000"/>
          <w:kern w:val="0"/>
          <w:lang w:eastAsia="es-UY"/>
          <w14:ligatures w14:val="none"/>
        </w:rPr>
      </w:pPr>
      <w:r w:rsidRPr="00D53A13">
        <w:rPr>
          <w:rFonts w:ascii="Arial" w:eastAsia="Times New Roman" w:hAnsi="Arial" w:cs="Arial"/>
          <w:color w:val="000000"/>
          <w:kern w:val="0"/>
          <w:lang w:eastAsia="es-UY"/>
          <w14:ligatures w14:val="none"/>
        </w:rPr>
        <w:t>Los propulsores de combustible sólido laterales, encargados de aportar la mayor parte del empuje inicial, emplearon polibutadieno como aglutinante principal, utilizando este derivado petroquímico directo para asistir en el despegue.</w:t>
      </w:r>
    </w:p>
    <w:p w14:paraId="1D0C2061" w14:textId="77777777" w:rsidR="00D53A13" w:rsidRPr="00D53A13" w:rsidRDefault="00D53A13" w:rsidP="00D53A13">
      <w:pPr>
        <w:numPr>
          <w:ilvl w:val="0"/>
          <w:numId w:val="1"/>
        </w:numPr>
        <w:spacing w:after="240" w:line="240" w:lineRule="auto"/>
        <w:ind w:left="945"/>
        <w:jc w:val="both"/>
        <w:textAlignment w:val="baseline"/>
        <w:rPr>
          <w:rFonts w:ascii="Arial" w:eastAsia="Times New Roman" w:hAnsi="Arial" w:cs="Arial"/>
          <w:color w:val="000000"/>
          <w:kern w:val="0"/>
          <w:lang w:eastAsia="es-UY"/>
          <w14:ligatures w14:val="none"/>
        </w:rPr>
      </w:pPr>
      <w:r w:rsidRPr="00D53A13">
        <w:rPr>
          <w:rFonts w:ascii="Arial" w:eastAsia="Times New Roman" w:hAnsi="Arial" w:cs="Arial"/>
          <w:color w:val="000000"/>
          <w:kern w:val="0"/>
          <w:lang w:eastAsia="es-UY"/>
          <w14:ligatures w14:val="none"/>
        </w:rPr>
        <w:t>La síntesis de los polímeros ultrarresistentes dependió estrictamente de la industria plástica, vinculando la fabricación de la cápsula Orión a las cadenas de suministro tradicionales.</w:t>
      </w:r>
    </w:p>
    <w:p w14:paraId="7542DF7C" w14:textId="77777777" w:rsidR="00D53A13" w:rsidRPr="00D53A13" w:rsidRDefault="00D53A13" w:rsidP="00D53A1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lastRenderedPageBreak/>
        <w:t>Las implicaciones de este consumo abarcaron la totalidad del soporte logístico en tierra. Los inmensos transportadores sobre orugas y la maquinaria pesada de ensamblaje requirieron quemar miles de litros de</w:t>
      </w:r>
      <w:hyperlink r:id="rId7" w:tgtFrame="_blank" w:history="1">
        <w:r w:rsidRPr="00D53A13">
          <w:rPr>
            <w:rFonts w:ascii="Arial" w:eastAsia="Times New Roman" w:hAnsi="Arial" w:cs="Arial"/>
            <w:color w:val="000000"/>
            <w:kern w:val="0"/>
            <w:u w:val="single"/>
            <w:lang w:eastAsia="es-UY"/>
            <w14:ligatures w14:val="none"/>
          </w:rPr>
          <w:t> </w:t>
        </w:r>
        <w:r w:rsidRPr="00D53A13">
          <w:rPr>
            <w:rFonts w:ascii="Arial" w:eastAsia="Times New Roman" w:hAnsi="Arial" w:cs="Arial"/>
            <w:color w:val="1155CC"/>
            <w:kern w:val="0"/>
            <w:u w:val="single"/>
            <w:lang w:eastAsia="es-UY"/>
            <w14:ligatures w14:val="none"/>
          </w:rPr>
          <w:t>gasoil</w:t>
        </w:r>
      </w:hyperlink>
      <w:r w:rsidRPr="00D53A13">
        <w:rPr>
          <w:rFonts w:ascii="Arial" w:eastAsia="Times New Roman" w:hAnsi="Arial" w:cs="Arial"/>
          <w:color w:val="000000"/>
          <w:kern w:val="0"/>
          <w:lang w:eastAsia="es-UY"/>
          <w14:ligatures w14:val="none"/>
        </w:rPr>
        <w:t> para operar en cada maniobra en los días previos al despegue. Esta adicción a los combustibles fósiles cuestiona la coherencia de destinar presupuestos astronómicos a la exploración extraterrestre mientras se agrava el daño ambiental local.</w:t>
      </w:r>
    </w:p>
    <w:p w14:paraId="2184855F" w14:textId="77777777" w:rsidR="00D53A13" w:rsidRPr="00D53A13" w:rsidRDefault="00D53A13" w:rsidP="00D53A13">
      <w:pPr>
        <w:shd w:val="clear" w:color="auto" w:fill="FFFFFF"/>
        <w:spacing w:before="280" w:after="120" w:line="240" w:lineRule="auto"/>
        <w:jc w:val="both"/>
        <w:outlineLvl w:val="1"/>
        <w:rPr>
          <w:rFonts w:ascii="Arial" w:eastAsia="Times New Roman" w:hAnsi="Arial" w:cs="Arial"/>
          <w:b/>
          <w:bCs/>
          <w:color w:val="222222"/>
          <w:kern w:val="0"/>
          <w:sz w:val="36"/>
          <w:szCs w:val="36"/>
          <w:lang w:eastAsia="es-UY"/>
          <w14:ligatures w14:val="none"/>
        </w:rPr>
      </w:pPr>
      <w:r w:rsidRPr="00D53A13">
        <w:rPr>
          <w:rFonts w:ascii="Arial" w:eastAsia="Times New Roman" w:hAnsi="Arial" w:cs="Arial"/>
          <w:b/>
          <w:bCs/>
          <w:color w:val="000000"/>
          <w:kern w:val="0"/>
          <w:sz w:val="32"/>
          <w:szCs w:val="32"/>
          <w:lang w:eastAsia="es-UY"/>
          <w14:ligatures w14:val="none"/>
        </w:rPr>
        <w:t>Escenario futuro de la carrera espacial</w:t>
      </w:r>
    </w:p>
    <w:p w14:paraId="73FD4196" w14:textId="77777777" w:rsidR="00D53A13" w:rsidRPr="00D53A13" w:rsidRDefault="00D53A13" w:rsidP="00D53A1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t>La reciente expedición lunar plantea interrogantes severos sobre el modelo energético de las potencias tecnológicas. Mientras el planeta afronta un colapso acelerado por la extracción de recursos, los programas gubernamentales perpetúan métodos de propulsión anclados en los paradigmas industriales del siglo pasado, en lugar de apostar decididamente por la transición hacia las</w:t>
      </w:r>
      <w:hyperlink r:id="rId8" w:tgtFrame="_blank" w:history="1">
        <w:r w:rsidRPr="00D53A13">
          <w:rPr>
            <w:rFonts w:ascii="Arial" w:eastAsia="Times New Roman" w:hAnsi="Arial" w:cs="Arial"/>
            <w:color w:val="000000"/>
            <w:kern w:val="0"/>
            <w:u w:val="single"/>
            <w:lang w:eastAsia="es-UY"/>
            <w14:ligatures w14:val="none"/>
          </w:rPr>
          <w:t> </w:t>
        </w:r>
        <w:r w:rsidRPr="00D53A13">
          <w:rPr>
            <w:rFonts w:ascii="Arial" w:eastAsia="Times New Roman" w:hAnsi="Arial" w:cs="Arial"/>
            <w:color w:val="1155CC"/>
            <w:kern w:val="0"/>
            <w:u w:val="single"/>
            <w:lang w:eastAsia="es-UY"/>
            <w14:ligatures w14:val="none"/>
          </w:rPr>
          <w:t>energías renovables</w:t>
        </w:r>
      </w:hyperlink>
      <w:r w:rsidRPr="00D53A13">
        <w:rPr>
          <w:rFonts w:ascii="Arial" w:eastAsia="Times New Roman" w:hAnsi="Arial" w:cs="Arial"/>
          <w:color w:val="000000"/>
          <w:kern w:val="0"/>
          <w:lang w:eastAsia="es-UY"/>
          <w14:ligatures w14:val="none"/>
        </w:rPr>
        <w:t>.</w:t>
      </w:r>
    </w:p>
    <w:p w14:paraId="55C9FA8C" w14:textId="77777777" w:rsidR="00D53A13" w:rsidRPr="00D53A13" w:rsidRDefault="00D53A13" w:rsidP="00D53A13">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t>La falta de alternativas verdaderamente neutras en carbono, como podrían ser los</w:t>
      </w:r>
      <w:hyperlink r:id="rId9" w:tgtFrame="_blank" w:history="1">
        <w:r w:rsidRPr="00D53A13">
          <w:rPr>
            <w:rFonts w:ascii="Arial" w:eastAsia="Times New Roman" w:hAnsi="Arial" w:cs="Arial"/>
            <w:color w:val="000000"/>
            <w:kern w:val="0"/>
            <w:u w:val="single"/>
            <w:lang w:eastAsia="es-UY"/>
            <w14:ligatures w14:val="none"/>
          </w:rPr>
          <w:t> </w:t>
        </w:r>
        <w:r w:rsidRPr="00D53A13">
          <w:rPr>
            <w:rFonts w:ascii="Arial" w:eastAsia="Times New Roman" w:hAnsi="Arial" w:cs="Arial"/>
            <w:color w:val="1155CC"/>
            <w:kern w:val="0"/>
            <w:u w:val="single"/>
            <w:lang w:eastAsia="es-UY"/>
            <w14:ligatures w14:val="none"/>
          </w:rPr>
          <w:t>biocombustibles</w:t>
        </w:r>
      </w:hyperlink>
      <w:r w:rsidRPr="00D53A13">
        <w:rPr>
          <w:rFonts w:ascii="Arial" w:eastAsia="Times New Roman" w:hAnsi="Arial" w:cs="Arial"/>
          <w:color w:val="000000"/>
          <w:kern w:val="0"/>
          <w:lang w:eastAsia="es-UY"/>
          <w14:ligatures w14:val="none"/>
        </w:rPr>
        <w:t> de cero emisiones adaptados al sector aeroespacial, dibuja un horizonte donde la ambición científica opera a costa del equilibrio ecológico terrestre. Resulta imperativo que instituciones como la NASA asuman la responsabilidad integral de sus operaciones logísticas; de lo contrario, la exploración cósmica funcionará únicamente como una coartada para el derroche fósil masivo.</w:t>
      </w:r>
    </w:p>
    <w:p w14:paraId="409DABCB" w14:textId="77777777" w:rsidR="00D53A13" w:rsidRPr="00D53A13" w:rsidRDefault="00D53A13" w:rsidP="00D53A13">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D53A13">
        <w:rPr>
          <w:rFonts w:ascii="Arial" w:eastAsia="Times New Roman" w:hAnsi="Arial" w:cs="Arial"/>
          <w:color w:val="000000"/>
          <w:kern w:val="0"/>
          <w:lang w:eastAsia="es-UY"/>
          <w14:ligatures w14:val="none"/>
        </w:rPr>
        <w:t>Fuente:</w:t>
      </w:r>
      <w:hyperlink r:id="rId10" w:tgtFrame="_blank" w:history="1">
        <w:r w:rsidRPr="00D53A13">
          <w:rPr>
            <w:rFonts w:ascii="Arial" w:eastAsia="Times New Roman" w:hAnsi="Arial" w:cs="Arial"/>
            <w:color w:val="1155CC"/>
            <w:kern w:val="0"/>
            <w:u w:val="single"/>
            <w:lang w:eastAsia="es-UY"/>
            <w14:ligatures w14:val="none"/>
          </w:rPr>
          <w:t> papernest.es</w:t>
        </w:r>
      </w:hyperlink>
    </w:p>
    <w:p w14:paraId="59DCEE6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F1C"/>
    <w:multiLevelType w:val="multilevel"/>
    <w:tmpl w:val="BB64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81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13"/>
    <w:rsid w:val="00926044"/>
    <w:rsid w:val="00D53A13"/>
    <w:rsid w:val="00DE17AC"/>
    <w:rsid w:val="00E11A1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FD5D"/>
  <w15:chartTrackingRefBased/>
  <w15:docId w15:val="{FB004F34-51A8-4FF0-90DD-DCA35BFE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3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3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3A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3A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3A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3A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A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A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A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A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3A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3A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3A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3A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3A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A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A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A13"/>
    <w:rPr>
      <w:rFonts w:eastAsiaTheme="majorEastAsia" w:cstheme="majorBidi"/>
      <w:color w:val="272727" w:themeColor="text1" w:themeTint="D8"/>
    </w:rPr>
  </w:style>
  <w:style w:type="paragraph" w:styleId="Ttulo">
    <w:name w:val="Title"/>
    <w:basedOn w:val="Normal"/>
    <w:next w:val="Normal"/>
    <w:link w:val="TtuloCar"/>
    <w:uiPriority w:val="10"/>
    <w:qFormat/>
    <w:rsid w:val="00D5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A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A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A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A13"/>
    <w:pPr>
      <w:spacing w:before="160"/>
      <w:jc w:val="center"/>
    </w:pPr>
    <w:rPr>
      <w:i/>
      <w:iCs/>
      <w:color w:val="404040" w:themeColor="text1" w:themeTint="BF"/>
    </w:rPr>
  </w:style>
  <w:style w:type="character" w:customStyle="1" w:styleId="CitaCar">
    <w:name w:val="Cita Car"/>
    <w:basedOn w:val="Fuentedeprrafopredeter"/>
    <w:link w:val="Cita"/>
    <w:uiPriority w:val="29"/>
    <w:rsid w:val="00D53A13"/>
    <w:rPr>
      <w:i/>
      <w:iCs/>
      <w:color w:val="404040" w:themeColor="text1" w:themeTint="BF"/>
    </w:rPr>
  </w:style>
  <w:style w:type="paragraph" w:styleId="Prrafodelista">
    <w:name w:val="List Paragraph"/>
    <w:basedOn w:val="Normal"/>
    <w:uiPriority w:val="34"/>
    <w:qFormat/>
    <w:rsid w:val="00D53A13"/>
    <w:pPr>
      <w:ind w:left="720"/>
      <w:contextualSpacing/>
    </w:pPr>
  </w:style>
  <w:style w:type="character" w:styleId="nfasisintenso">
    <w:name w:val="Intense Emphasis"/>
    <w:basedOn w:val="Fuentedeprrafopredeter"/>
    <w:uiPriority w:val="21"/>
    <w:qFormat/>
    <w:rsid w:val="00D53A13"/>
    <w:rPr>
      <w:i/>
      <w:iCs/>
      <w:color w:val="0F4761" w:themeColor="accent1" w:themeShade="BF"/>
    </w:rPr>
  </w:style>
  <w:style w:type="paragraph" w:styleId="Citadestacada">
    <w:name w:val="Intense Quote"/>
    <w:basedOn w:val="Normal"/>
    <w:next w:val="Normal"/>
    <w:link w:val="CitadestacadaCar"/>
    <w:uiPriority w:val="30"/>
    <w:qFormat/>
    <w:rsid w:val="00D5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3A13"/>
    <w:rPr>
      <w:i/>
      <w:iCs/>
      <w:color w:val="0F4761" w:themeColor="accent1" w:themeShade="BF"/>
    </w:rPr>
  </w:style>
  <w:style w:type="character" w:styleId="Referenciaintensa">
    <w:name w:val="Intense Reference"/>
    <w:basedOn w:val="Fuentedeprrafopredeter"/>
    <w:uiPriority w:val="32"/>
    <w:qFormat/>
    <w:rsid w:val="00D53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renovables/" TargetMode="External"/><Relationship Id="rId3" Type="http://schemas.openxmlformats.org/officeDocument/2006/relationships/settings" Target="settings.xml"/><Relationship Id="rId7" Type="http://schemas.openxmlformats.org/officeDocument/2006/relationships/hyperlink" Target="https://www.papernest.es/precio-gaso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renovables/hidrogeno-verde/" TargetMode="External"/><Relationship Id="rId11" Type="http://schemas.openxmlformats.org/officeDocument/2006/relationships/fontTable" Target="fontTable.xml"/><Relationship Id="rId5" Type="http://schemas.openxmlformats.org/officeDocument/2006/relationships/hyperlink" Target="https://www.papernest.es/info/renovables/cambio-climatico/" TargetMode="External"/><Relationship Id="rId10" Type="http://schemas.openxmlformats.org/officeDocument/2006/relationships/hyperlink" Target="http://papernest.es/" TargetMode="External"/><Relationship Id="rId4" Type="http://schemas.openxmlformats.org/officeDocument/2006/relationships/webSettings" Target="webSettings.xml"/><Relationship Id="rId9" Type="http://schemas.openxmlformats.org/officeDocument/2006/relationships/hyperlink" Target="https://www.papernest.es/info/renovables/biocombustib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3737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2026-04-09T12:28:00Z</dcterms:created>
  <dcterms:modified xsi:type="dcterms:W3CDTF">2026-04-09T12:28:00Z</dcterms:modified>
</cp:coreProperties>
</file>