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8D01B" w14:textId="7D4DDA30" w:rsidR="00D639D7" w:rsidRDefault="00D639D7" w:rsidP="00D639D7">
      <w:pPr>
        <w:spacing w:after="0" w:line="240" w:lineRule="auto"/>
        <w:jc w:val="both"/>
        <w:rPr>
          <w:rFonts w:ascii="Arial" w:eastAsia="Times New Roman" w:hAnsi="Arial" w:cs="Arial"/>
          <w:b/>
          <w:bCs/>
          <w:color w:val="333333"/>
          <w:kern w:val="0"/>
          <w:sz w:val="26"/>
          <w:szCs w:val="26"/>
          <w:lang w:eastAsia="es-UY"/>
          <w14:ligatures w14:val="none"/>
        </w:rPr>
      </w:pPr>
      <w:r w:rsidRPr="00D639D7">
        <w:rPr>
          <w:rFonts w:ascii="Arial" w:eastAsia="Times New Roman" w:hAnsi="Arial" w:cs="Arial"/>
          <w:b/>
          <w:bCs/>
          <w:color w:val="333333"/>
          <w:kern w:val="0"/>
          <w:sz w:val="26"/>
          <w:szCs w:val="26"/>
          <w:lang w:eastAsia="es-UY"/>
          <w14:ligatures w14:val="none"/>
        </w:rPr>
        <w:drawing>
          <wp:inline distT="0" distB="0" distL="0" distR="0" wp14:anchorId="2EB84E70" wp14:editId="3835813E">
            <wp:extent cx="5400040" cy="1347470"/>
            <wp:effectExtent l="0" t="0" r="0" b="5080"/>
            <wp:docPr id="1348289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89501" name=""/>
                    <pic:cNvPicPr/>
                  </pic:nvPicPr>
                  <pic:blipFill>
                    <a:blip r:embed="rId4"/>
                    <a:stretch>
                      <a:fillRect/>
                    </a:stretch>
                  </pic:blipFill>
                  <pic:spPr>
                    <a:xfrm>
                      <a:off x="0" y="0"/>
                      <a:ext cx="5400040" cy="1347470"/>
                    </a:xfrm>
                    <a:prstGeom prst="rect">
                      <a:avLst/>
                    </a:prstGeom>
                  </pic:spPr>
                </pic:pic>
              </a:graphicData>
            </a:graphic>
          </wp:inline>
        </w:drawing>
      </w:r>
    </w:p>
    <w:p w14:paraId="1AD6075B" w14:textId="77777777" w:rsidR="00D639D7" w:rsidRDefault="00D639D7" w:rsidP="00D639D7">
      <w:pPr>
        <w:spacing w:after="0" w:line="240" w:lineRule="auto"/>
        <w:jc w:val="both"/>
        <w:rPr>
          <w:rFonts w:ascii="Arial" w:eastAsia="Times New Roman" w:hAnsi="Arial" w:cs="Arial"/>
          <w:b/>
          <w:bCs/>
          <w:color w:val="333333"/>
          <w:kern w:val="0"/>
          <w:sz w:val="26"/>
          <w:szCs w:val="26"/>
          <w:lang w:eastAsia="es-UY"/>
          <w14:ligatures w14:val="none"/>
        </w:rPr>
      </w:pPr>
    </w:p>
    <w:p w14:paraId="29862B66" w14:textId="2A44574E"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b/>
          <w:bCs/>
          <w:color w:val="333333"/>
          <w:kern w:val="0"/>
          <w:sz w:val="26"/>
          <w:szCs w:val="26"/>
          <w:lang w:eastAsia="es-UY"/>
          <w14:ligatures w14:val="none"/>
        </w:rPr>
        <w:t>Si el Tribunal Supremo</w:t>
      </w:r>
      <w:r w:rsidRPr="00D639D7">
        <w:rPr>
          <w:rFonts w:ascii="Arial" w:eastAsia="Times New Roman" w:hAnsi="Arial" w:cs="Arial"/>
          <w:color w:val="333333"/>
          <w:kern w:val="0"/>
          <w:sz w:val="26"/>
          <w:szCs w:val="26"/>
          <w:lang w:eastAsia="es-UY"/>
          <w14:ligatures w14:val="none"/>
        </w:rPr>
        <w:t> aprueba la ley de </w:t>
      </w:r>
      <w:r w:rsidRPr="00D639D7">
        <w:rPr>
          <w:rFonts w:ascii="Arial" w:eastAsia="Times New Roman" w:hAnsi="Arial" w:cs="Arial"/>
          <w:b/>
          <w:bCs/>
          <w:color w:val="333333"/>
          <w:kern w:val="0"/>
          <w:sz w:val="26"/>
          <w:szCs w:val="26"/>
          <w:lang w:eastAsia="es-UY"/>
          <w14:ligatures w14:val="none"/>
        </w:rPr>
        <w:t>Temer</w:t>
      </w:r>
      <w:r w:rsidRPr="00D639D7">
        <w:rPr>
          <w:rFonts w:ascii="Arial" w:eastAsia="Times New Roman" w:hAnsi="Arial" w:cs="Arial"/>
          <w:color w:val="333333"/>
          <w:kern w:val="0"/>
          <w:sz w:val="26"/>
          <w:szCs w:val="26"/>
          <w:lang w:eastAsia="es-UY"/>
          <w14:ligatures w14:val="none"/>
        </w:rPr>
        <w:t> , allanará el camino para los ferrocarriles </w:t>
      </w:r>
      <w:proofErr w:type="spellStart"/>
      <w:r w:rsidRPr="00D639D7">
        <w:rPr>
          <w:rFonts w:ascii="Arial" w:eastAsia="Times New Roman" w:hAnsi="Arial" w:cs="Arial"/>
          <w:color w:val="333333"/>
          <w:kern w:val="0"/>
          <w:sz w:val="26"/>
          <w:szCs w:val="26"/>
          <w:lang w:eastAsia="es-UY"/>
          <w14:ligatures w14:val="none"/>
        </w:rPr>
        <w:fldChar w:fldCharType="begin"/>
      </w:r>
      <w:r w:rsidRPr="00D639D7">
        <w:rPr>
          <w:rFonts w:ascii="Arial" w:eastAsia="Times New Roman" w:hAnsi="Arial" w:cs="Arial"/>
          <w:color w:val="333333"/>
          <w:kern w:val="0"/>
          <w:sz w:val="26"/>
          <w:szCs w:val="26"/>
          <w:lang w:eastAsia="es-UY"/>
          <w14:ligatures w14:val="none"/>
        </w:rPr>
        <w:instrText>HYPERLINK "https://www.ihu.unisinos.br/categorias/664580-pressao-indigena-cancela-audiencia-sobre-hidrovias-na-camara-e-tensiona-debate-sobre-ferrograo" \t "_blank"</w:instrText>
      </w:r>
      <w:r w:rsidRPr="00D639D7">
        <w:rPr>
          <w:rFonts w:ascii="Arial" w:eastAsia="Times New Roman" w:hAnsi="Arial" w:cs="Arial"/>
          <w:color w:val="333333"/>
          <w:kern w:val="0"/>
          <w:sz w:val="26"/>
          <w:szCs w:val="26"/>
          <w:lang w:eastAsia="es-UY"/>
          <w14:ligatures w14:val="none"/>
        </w:rPr>
      </w:r>
      <w:r w:rsidRPr="00D639D7">
        <w:rPr>
          <w:rFonts w:ascii="Arial" w:eastAsia="Times New Roman" w:hAnsi="Arial" w:cs="Arial"/>
          <w:color w:val="333333"/>
          <w:kern w:val="0"/>
          <w:sz w:val="26"/>
          <w:szCs w:val="26"/>
          <w:lang w:eastAsia="es-UY"/>
          <w14:ligatures w14:val="none"/>
        </w:rPr>
        <w:fldChar w:fldCharType="separate"/>
      </w:r>
      <w:r w:rsidRPr="00D639D7">
        <w:rPr>
          <w:rFonts w:ascii="Arial" w:eastAsia="Times New Roman" w:hAnsi="Arial" w:cs="Arial"/>
          <w:color w:val="FC6B01"/>
          <w:kern w:val="0"/>
          <w:sz w:val="26"/>
          <w:szCs w:val="26"/>
          <w:u w:val="single"/>
          <w:lang w:eastAsia="es-UY"/>
          <w14:ligatures w14:val="none"/>
        </w:rPr>
        <w:t>Ferrogrão</w:t>
      </w:r>
      <w:proofErr w:type="spellEnd"/>
      <w:r w:rsidRPr="00D639D7">
        <w:rPr>
          <w:rFonts w:ascii="Arial" w:eastAsia="Times New Roman" w:hAnsi="Arial" w:cs="Arial"/>
          <w:color w:val="333333"/>
          <w:kern w:val="0"/>
          <w:sz w:val="26"/>
          <w:szCs w:val="26"/>
          <w:lang w:eastAsia="es-UY"/>
          <w14:ligatures w14:val="none"/>
        </w:rPr>
        <w:fldChar w:fldCharType="end"/>
      </w:r>
      <w:r w:rsidRPr="00D639D7">
        <w:rPr>
          <w:rFonts w:ascii="Arial" w:eastAsia="Times New Roman" w:hAnsi="Arial" w:cs="Arial"/>
          <w:color w:val="333333"/>
          <w:kern w:val="0"/>
          <w:sz w:val="26"/>
          <w:szCs w:val="26"/>
          <w:lang w:eastAsia="es-UY"/>
          <w14:ligatures w14:val="none"/>
        </w:rPr>
        <w:t> y </w:t>
      </w:r>
      <w:r w:rsidRPr="00D639D7">
        <w:rPr>
          <w:rFonts w:ascii="Arial" w:eastAsia="Times New Roman" w:hAnsi="Arial" w:cs="Arial"/>
          <w:b/>
          <w:bCs/>
          <w:color w:val="333333"/>
          <w:kern w:val="0"/>
          <w:sz w:val="26"/>
          <w:szCs w:val="26"/>
          <w:lang w:eastAsia="es-UY"/>
          <w14:ligatures w14:val="none"/>
        </w:rPr>
        <w:t>Arco Norte</w:t>
      </w:r>
      <w:r w:rsidRPr="00D639D7">
        <w:rPr>
          <w:rFonts w:ascii="Arial" w:eastAsia="Times New Roman" w:hAnsi="Arial" w:cs="Arial"/>
          <w:color w:val="333333"/>
          <w:kern w:val="0"/>
          <w:sz w:val="26"/>
          <w:szCs w:val="26"/>
          <w:lang w:eastAsia="es-UY"/>
          <w14:ligatures w14:val="none"/>
        </w:rPr>
        <w:t> , que amenazan con convertir el bosque en un mar de soja. Siete mil mujeres y hombres iniciaron una marcha. Están convencidos de que la región merece un proyecto y un futuro diferentes.</w:t>
      </w:r>
    </w:p>
    <w:p w14:paraId="1B3BACD8"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El artículo es de </w:t>
      </w:r>
      <w:hyperlink r:id="rId5" w:tgtFrame="_blank" w:history="1">
        <w:r w:rsidRPr="00D639D7">
          <w:rPr>
            <w:rFonts w:ascii="Arial" w:eastAsia="Times New Roman" w:hAnsi="Arial" w:cs="Arial"/>
            <w:color w:val="FC6B01"/>
            <w:kern w:val="0"/>
            <w:sz w:val="26"/>
            <w:szCs w:val="26"/>
            <w:u w:val="single"/>
            <w:lang w:eastAsia="es-UY"/>
            <w14:ligatures w14:val="none"/>
          </w:rPr>
          <w:t>Fábio Caetano</w:t>
        </w:r>
      </w:hyperlink>
      <w:r w:rsidRPr="00D639D7">
        <w:rPr>
          <w:rFonts w:ascii="Arial" w:eastAsia="Times New Roman" w:hAnsi="Arial" w:cs="Arial"/>
          <w:color w:val="333333"/>
          <w:kern w:val="0"/>
          <w:sz w:val="26"/>
          <w:szCs w:val="26"/>
          <w:lang w:eastAsia="es-UY"/>
          <w14:ligatures w14:val="none"/>
        </w:rPr>
        <w:t> , publicado por </w:t>
      </w:r>
      <w:proofErr w:type="spellStart"/>
      <w:r w:rsidRPr="00D639D7">
        <w:rPr>
          <w:rFonts w:ascii="Arial" w:eastAsia="Times New Roman" w:hAnsi="Arial" w:cs="Arial"/>
          <w:color w:val="333333"/>
          <w:kern w:val="0"/>
          <w:sz w:val="26"/>
          <w:szCs w:val="26"/>
          <w:lang w:eastAsia="es-UY"/>
          <w14:ligatures w14:val="none"/>
        </w:rPr>
        <w:fldChar w:fldCharType="begin"/>
      </w:r>
      <w:r w:rsidRPr="00D639D7">
        <w:rPr>
          <w:rFonts w:ascii="Arial" w:eastAsia="Times New Roman" w:hAnsi="Arial" w:cs="Arial"/>
          <w:color w:val="333333"/>
          <w:kern w:val="0"/>
          <w:sz w:val="26"/>
          <w:szCs w:val="26"/>
          <w:lang w:eastAsia="es-UY"/>
          <w14:ligatures w14:val="none"/>
        </w:rPr>
        <w:instrText>HYPERLINK "https://outraspalavras.net/" \t "_blank"</w:instrText>
      </w:r>
      <w:r w:rsidRPr="00D639D7">
        <w:rPr>
          <w:rFonts w:ascii="Arial" w:eastAsia="Times New Roman" w:hAnsi="Arial" w:cs="Arial"/>
          <w:color w:val="333333"/>
          <w:kern w:val="0"/>
          <w:sz w:val="26"/>
          <w:szCs w:val="26"/>
          <w:lang w:eastAsia="es-UY"/>
          <w14:ligatures w14:val="none"/>
        </w:rPr>
      </w:r>
      <w:r w:rsidRPr="00D639D7">
        <w:rPr>
          <w:rFonts w:ascii="Arial" w:eastAsia="Times New Roman" w:hAnsi="Arial" w:cs="Arial"/>
          <w:color w:val="333333"/>
          <w:kern w:val="0"/>
          <w:sz w:val="26"/>
          <w:szCs w:val="26"/>
          <w:lang w:eastAsia="es-UY"/>
          <w14:ligatures w14:val="none"/>
        </w:rPr>
        <w:fldChar w:fldCharType="separate"/>
      </w:r>
      <w:r w:rsidRPr="00D639D7">
        <w:rPr>
          <w:rFonts w:ascii="Arial" w:eastAsia="Times New Roman" w:hAnsi="Arial" w:cs="Arial"/>
          <w:color w:val="FC6B01"/>
          <w:kern w:val="0"/>
          <w:sz w:val="26"/>
          <w:szCs w:val="26"/>
          <w:u w:val="single"/>
          <w:lang w:eastAsia="es-UY"/>
          <w14:ligatures w14:val="none"/>
        </w:rPr>
        <w:t>Outras</w:t>
      </w:r>
      <w:proofErr w:type="spellEnd"/>
      <w:r w:rsidRPr="00D639D7">
        <w:rPr>
          <w:rFonts w:ascii="Arial" w:eastAsia="Times New Roman" w:hAnsi="Arial" w:cs="Arial"/>
          <w:color w:val="FC6B01"/>
          <w:kern w:val="0"/>
          <w:sz w:val="26"/>
          <w:szCs w:val="26"/>
          <w:u w:val="single"/>
          <w:lang w:eastAsia="es-UY"/>
          <w14:ligatures w14:val="none"/>
        </w:rPr>
        <w:t xml:space="preserve"> </w:t>
      </w:r>
      <w:proofErr w:type="spellStart"/>
      <w:r w:rsidRPr="00D639D7">
        <w:rPr>
          <w:rFonts w:ascii="Arial" w:eastAsia="Times New Roman" w:hAnsi="Arial" w:cs="Arial"/>
          <w:color w:val="FC6B01"/>
          <w:kern w:val="0"/>
          <w:sz w:val="26"/>
          <w:szCs w:val="26"/>
          <w:u w:val="single"/>
          <w:lang w:eastAsia="es-UY"/>
          <w14:ligatures w14:val="none"/>
        </w:rPr>
        <w:t>Palavras</w:t>
      </w:r>
      <w:proofErr w:type="spellEnd"/>
      <w:r w:rsidRPr="00D639D7">
        <w:rPr>
          <w:rFonts w:ascii="Arial" w:eastAsia="Times New Roman" w:hAnsi="Arial" w:cs="Arial"/>
          <w:color w:val="333333"/>
          <w:kern w:val="0"/>
          <w:sz w:val="26"/>
          <w:szCs w:val="26"/>
          <w:lang w:eastAsia="es-UY"/>
          <w14:ligatures w14:val="none"/>
        </w:rPr>
        <w:fldChar w:fldCharType="end"/>
      </w:r>
      <w:r w:rsidRPr="00D639D7">
        <w:rPr>
          <w:rFonts w:ascii="Arial" w:eastAsia="Times New Roman" w:hAnsi="Arial" w:cs="Arial"/>
          <w:color w:val="333333"/>
          <w:kern w:val="0"/>
          <w:sz w:val="26"/>
          <w:szCs w:val="26"/>
          <w:lang w:eastAsia="es-UY"/>
          <w14:ligatures w14:val="none"/>
        </w:rPr>
        <w:t> , 9 de abril de 2026.</w:t>
      </w:r>
    </w:p>
    <w:p w14:paraId="5B628FB4"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b/>
          <w:bCs/>
          <w:color w:val="333333"/>
          <w:kern w:val="0"/>
          <w:sz w:val="26"/>
          <w:szCs w:val="26"/>
          <w:lang w:eastAsia="es-UY"/>
          <w14:ligatures w14:val="none"/>
        </w:rPr>
        <w:t>Fábio Caetano</w:t>
      </w:r>
      <w:r w:rsidRPr="00D639D7">
        <w:rPr>
          <w:rFonts w:ascii="Arial" w:eastAsia="Times New Roman" w:hAnsi="Arial" w:cs="Arial"/>
          <w:color w:val="333333"/>
          <w:kern w:val="0"/>
          <w:sz w:val="26"/>
          <w:szCs w:val="26"/>
          <w:lang w:eastAsia="es-UY"/>
          <w14:ligatures w14:val="none"/>
        </w:rPr>
        <w:t>  es especialista en gestión socioambiental aplicada a la concesión de licencias ambientales. Fue observador de la sociedad civil en la COP30 y creador de la COP para Líderes Estudiantiles en el estado de Pará. Actualmente realiza trabajo de campo en Pará, monitoreando movilizaciones socioambientales y territoriales.</w:t>
      </w:r>
    </w:p>
    <w:p w14:paraId="6F2FDB8B" w14:textId="77777777" w:rsidR="00D639D7" w:rsidRPr="00D639D7" w:rsidRDefault="00D639D7" w:rsidP="00D639D7">
      <w:pPr>
        <w:spacing w:after="0" w:line="240" w:lineRule="auto"/>
        <w:jc w:val="both"/>
        <w:outlineLvl w:val="1"/>
        <w:rPr>
          <w:rFonts w:ascii="Arial" w:eastAsia="Times New Roman" w:hAnsi="Arial" w:cs="Arial"/>
          <w:b/>
          <w:bCs/>
          <w:color w:val="333333"/>
          <w:kern w:val="0"/>
          <w:sz w:val="36"/>
          <w:szCs w:val="36"/>
          <w:lang w:eastAsia="es-UY"/>
          <w14:ligatures w14:val="none"/>
        </w:rPr>
      </w:pPr>
      <w:r w:rsidRPr="00D639D7">
        <w:rPr>
          <w:rFonts w:ascii="Arial" w:eastAsia="Times New Roman" w:hAnsi="Arial" w:cs="Arial"/>
          <w:b/>
          <w:bCs/>
          <w:color w:val="333333"/>
          <w:kern w:val="0"/>
          <w:sz w:val="36"/>
          <w:szCs w:val="36"/>
          <w:lang w:eastAsia="es-UY"/>
          <w14:ligatures w14:val="none"/>
        </w:rPr>
        <w:t>Aquí está el artículo.</w:t>
      </w:r>
    </w:p>
    <w:p w14:paraId="1A066247"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El 8 de abril, la </w:t>
      </w:r>
      <w:r w:rsidRPr="00D639D7">
        <w:rPr>
          <w:rFonts w:ascii="Arial" w:eastAsia="Times New Roman" w:hAnsi="Arial" w:cs="Arial"/>
          <w:b/>
          <w:bCs/>
          <w:color w:val="333333"/>
          <w:kern w:val="0"/>
          <w:sz w:val="26"/>
          <w:szCs w:val="26"/>
          <w:lang w:eastAsia="es-UY"/>
          <w14:ligatures w14:val="none"/>
        </w:rPr>
        <w:t>Corte Suprema</w:t>
      </w:r>
      <w:r w:rsidRPr="00D639D7">
        <w:rPr>
          <w:rFonts w:ascii="Arial" w:eastAsia="Times New Roman" w:hAnsi="Arial" w:cs="Arial"/>
          <w:color w:val="333333"/>
          <w:kern w:val="0"/>
          <w:sz w:val="26"/>
          <w:szCs w:val="26"/>
          <w:lang w:eastAsia="es-UY"/>
          <w14:ligatures w14:val="none"/>
        </w:rPr>
        <w:t> reanudó el juicio que podría resultar en la reducción de los límites del </w:t>
      </w:r>
      <w:r w:rsidRPr="00D639D7">
        <w:rPr>
          <w:rFonts w:ascii="Arial" w:eastAsia="Times New Roman" w:hAnsi="Arial" w:cs="Arial"/>
          <w:b/>
          <w:bCs/>
          <w:color w:val="333333"/>
          <w:kern w:val="0"/>
          <w:sz w:val="26"/>
          <w:szCs w:val="26"/>
          <w:lang w:eastAsia="es-UY"/>
          <w14:ligatures w14:val="none"/>
        </w:rPr>
        <w:t xml:space="preserve">Parque Nacional </w:t>
      </w:r>
      <w:proofErr w:type="spellStart"/>
      <w:r w:rsidRPr="00D639D7">
        <w:rPr>
          <w:rFonts w:ascii="Arial" w:eastAsia="Times New Roman" w:hAnsi="Arial" w:cs="Arial"/>
          <w:b/>
          <w:bCs/>
          <w:color w:val="333333"/>
          <w:kern w:val="0"/>
          <w:sz w:val="26"/>
          <w:szCs w:val="26"/>
          <w:lang w:eastAsia="es-UY"/>
          <w14:ligatures w14:val="none"/>
        </w:rPr>
        <w:t>Jamanxim</w:t>
      </w:r>
      <w:proofErr w:type="spellEnd"/>
      <w:r w:rsidRPr="00D639D7">
        <w:rPr>
          <w:rFonts w:ascii="Arial" w:eastAsia="Times New Roman" w:hAnsi="Arial" w:cs="Arial"/>
          <w:color w:val="333333"/>
          <w:kern w:val="0"/>
          <w:sz w:val="26"/>
          <w:szCs w:val="26"/>
          <w:lang w:eastAsia="es-UY"/>
          <w14:ligatures w14:val="none"/>
        </w:rPr>
        <w:t> , en el suroeste </w:t>
      </w:r>
      <w:r w:rsidRPr="00D639D7">
        <w:rPr>
          <w:rFonts w:ascii="Arial" w:eastAsia="Times New Roman" w:hAnsi="Arial" w:cs="Arial"/>
          <w:b/>
          <w:bCs/>
          <w:color w:val="333333"/>
          <w:kern w:val="0"/>
          <w:sz w:val="26"/>
          <w:szCs w:val="26"/>
          <w:lang w:eastAsia="es-UY"/>
          <w14:ligatures w14:val="none"/>
        </w:rPr>
        <w:t>de Pará</w:t>
      </w:r>
      <w:r w:rsidRPr="00D639D7">
        <w:rPr>
          <w:rFonts w:ascii="Arial" w:eastAsia="Times New Roman" w:hAnsi="Arial" w:cs="Arial"/>
          <w:color w:val="333333"/>
          <w:kern w:val="0"/>
          <w:sz w:val="26"/>
          <w:szCs w:val="26"/>
          <w:lang w:eastAsia="es-UY"/>
          <w14:ligatures w14:val="none"/>
        </w:rPr>
        <w:t> . Si la amenaza se materializa, sentará las bases legales para la construcción del </w:t>
      </w:r>
      <w:r w:rsidRPr="00D639D7">
        <w:rPr>
          <w:rFonts w:ascii="Arial" w:eastAsia="Times New Roman" w:hAnsi="Arial" w:cs="Arial"/>
          <w:b/>
          <w:bCs/>
          <w:color w:val="333333"/>
          <w:kern w:val="0"/>
          <w:sz w:val="26"/>
          <w:szCs w:val="26"/>
          <w:lang w:eastAsia="es-UY"/>
          <w14:ligatures w14:val="none"/>
        </w:rPr>
        <w:t xml:space="preserve">ferrocarril </w:t>
      </w:r>
      <w:proofErr w:type="spellStart"/>
      <w:r w:rsidRPr="00D639D7">
        <w:rPr>
          <w:rFonts w:ascii="Arial" w:eastAsia="Times New Roman" w:hAnsi="Arial" w:cs="Arial"/>
          <w:b/>
          <w:bCs/>
          <w:color w:val="333333"/>
          <w:kern w:val="0"/>
          <w:sz w:val="26"/>
          <w:szCs w:val="26"/>
          <w:lang w:eastAsia="es-UY"/>
          <w14:ligatures w14:val="none"/>
        </w:rPr>
        <w:t>Ferrogrão</w:t>
      </w:r>
      <w:proofErr w:type="spellEnd"/>
      <w:r w:rsidRPr="00D639D7">
        <w:rPr>
          <w:rFonts w:ascii="Arial" w:eastAsia="Times New Roman" w:hAnsi="Arial" w:cs="Arial"/>
          <w:color w:val="333333"/>
          <w:kern w:val="0"/>
          <w:sz w:val="26"/>
          <w:szCs w:val="26"/>
          <w:lang w:eastAsia="es-UY"/>
          <w14:ligatures w14:val="none"/>
        </w:rPr>
        <w:t> , un proyecto que amenaza la naturaleza y los derechos de los pueblos indígenas. Ese mismo día, 14 grupos étnicos indígenas de la </w:t>
      </w:r>
      <w:r w:rsidRPr="00D639D7">
        <w:rPr>
          <w:rFonts w:ascii="Arial" w:eastAsia="Times New Roman" w:hAnsi="Arial" w:cs="Arial"/>
          <w:b/>
          <w:bCs/>
          <w:color w:val="333333"/>
          <w:kern w:val="0"/>
          <w:sz w:val="26"/>
          <w:szCs w:val="26"/>
          <w:lang w:eastAsia="es-UY"/>
          <w14:ligatures w14:val="none"/>
        </w:rPr>
        <w:t>región del Bajo Tapajós</w:t>
      </w:r>
      <w:r w:rsidRPr="00D639D7">
        <w:rPr>
          <w:rFonts w:ascii="Arial" w:eastAsia="Times New Roman" w:hAnsi="Arial" w:cs="Arial"/>
          <w:color w:val="333333"/>
          <w:kern w:val="0"/>
          <w:sz w:val="26"/>
          <w:szCs w:val="26"/>
          <w:lang w:eastAsia="es-UY"/>
          <w14:ligatures w14:val="none"/>
        </w:rPr>
        <w:t> marcharon hacia la corte. Esto no es meramente un gesto simbólico, sino un intento de intervenir en el corazón de una decisión que, una vez más, podría tomarse sin la presencia efectiva de quienes se verán más afectados por ella. El contraste es revelador.</w:t>
      </w:r>
    </w:p>
    <w:p w14:paraId="01F4FE29"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Por un lado, </w:t>
      </w:r>
      <w:r w:rsidRPr="00D639D7">
        <w:rPr>
          <w:rFonts w:ascii="Arial" w:eastAsia="Times New Roman" w:hAnsi="Arial" w:cs="Arial"/>
          <w:b/>
          <w:bCs/>
          <w:color w:val="333333"/>
          <w:kern w:val="0"/>
          <w:sz w:val="26"/>
          <w:szCs w:val="26"/>
          <w:lang w:eastAsia="es-UY"/>
          <w14:ligatures w14:val="none"/>
        </w:rPr>
        <w:t>el Tribunal Supremo Federal (TSF)</w:t>
      </w:r>
      <w:r w:rsidRPr="00D639D7">
        <w:rPr>
          <w:rFonts w:ascii="Arial" w:eastAsia="Times New Roman" w:hAnsi="Arial" w:cs="Arial"/>
          <w:color w:val="333333"/>
          <w:kern w:val="0"/>
          <w:sz w:val="26"/>
          <w:szCs w:val="26"/>
          <w:lang w:eastAsia="es-UY"/>
          <w14:ligatures w14:val="none"/>
        </w:rPr>
        <w:t> analiza la constitucionalidad de la modificación de los límites de una unidad de conservación mediante una medida provisional firmada por el entonces </w:t>
      </w:r>
      <w:hyperlink r:id="rId6" w:tgtFrame="_blank" w:history="1">
        <w:r w:rsidRPr="00D639D7">
          <w:rPr>
            <w:rFonts w:ascii="Arial" w:eastAsia="Times New Roman" w:hAnsi="Arial" w:cs="Arial"/>
            <w:color w:val="FC6B01"/>
            <w:kern w:val="0"/>
            <w:sz w:val="26"/>
            <w:szCs w:val="26"/>
            <w:u w:val="single"/>
            <w:lang w:eastAsia="es-UY"/>
            <w14:ligatures w14:val="none"/>
          </w:rPr>
          <w:t>presidente Michel Temer</w:t>
        </w:r>
      </w:hyperlink>
      <w:r w:rsidRPr="00D639D7">
        <w:rPr>
          <w:rFonts w:ascii="Arial" w:eastAsia="Times New Roman" w:hAnsi="Arial" w:cs="Arial"/>
          <w:color w:val="333333"/>
          <w:kern w:val="0"/>
          <w:sz w:val="26"/>
          <w:szCs w:val="26"/>
          <w:lang w:eastAsia="es-UY"/>
          <w14:ligatures w14:val="none"/>
        </w:rPr>
        <w:t> . Por otro lado, los pueblos indígenas afirman, en persona, que no existe legitimidad alguna cuando se decide sobre territorios en contra de la voluntad de quienes los habitan. Una delegación indígena asistió al juicio dentro del Tribunal Supremo, mientras que cientos de líderes de diferentes pueblos siguieron la sesión desde el exterior, frente a una gran pantalla instalada para tal fin. El dispositivo de seguridad alrededor del tribunal se reforzó, demostrando que no se trata simplemente de un fallo técnico, sino de una decisión que moviliza a los territorios en defensa de sus derechos.</w:t>
      </w:r>
    </w:p>
    <w:p w14:paraId="2EC71F7F"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Sin embargo, durante la sesión, los jueces aplazaron el juicio, que se retomaría en la siguiente sesión, el 9 de abril. Según una declaración pública de </w:t>
      </w:r>
      <w:proofErr w:type="spellStart"/>
      <w:r w:rsidRPr="00D639D7">
        <w:rPr>
          <w:rFonts w:ascii="Arial" w:eastAsia="Times New Roman" w:hAnsi="Arial" w:cs="Arial"/>
          <w:color w:val="333333"/>
          <w:kern w:val="0"/>
          <w:sz w:val="26"/>
          <w:szCs w:val="26"/>
          <w:lang w:eastAsia="es-UY"/>
          <w14:ligatures w14:val="none"/>
        </w:rPr>
        <w:fldChar w:fldCharType="begin"/>
      </w:r>
      <w:r w:rsidRPr="00D639D7">
        <w:rPr>
          <w:rFonts w:ascii="Arial" w:eastAsia="Times New Roman" w:hAnsi="Arial" w:cs="Arial"/>
          <w:color w:val="333333"/>
          <w:kern w:val="0"/>
          <w:sz w:val="26"/>
          <w:szCs w:val="26"/>
          <w:lang w:eastAsia="es-UY"/>
          <w14:ligatures w14:val="none"/>
        </w:rPr>
        <w:instrText>HYPERLINK "https://www.ihu.unisinos.br/categorias/662750-licao-para-a-sociedade-diz-lider-indigena-apos-derrubada-de-decreto-sobre-rio-tapajos-entrevista-com-auricelia-arapiun" \t "_blank"</w:instrText>
      </w:r>
      <w:r w:rsidRPr="00D639D7">
        <w:rPr>
          <w:rFonts w:ascii="Arial" w:eastAsia="Times New Roman" w:hAnsi="Arial" w:cs="Arial"/>
          <w:color w:val="333333"/>
          <w:kern w:val="0"/>
          <w:sz w:val="26"/>
          <w:szCs w:val="26"/>
          <w:lang w:eastAsia="es-UY"/>
          <w14:ligatures w14:val="none"/>
        </w:rPr>
      </w:r>
      <w:r w:rsidRPr="00D639D7">
        <w:rPr>
          <w:rFonts w:ascii="Arial" w:eastAsia="Times New Roman" w:hAnsi="Arial" w:cs="Arial"/>
          <w:color w:val="333333"/>
          <w:kern w:val="0"/>
          <w:sz w:val="26"/>
          <w:szCs w:val="26"/>
          <w:lang w:eastAsia="es-UY"/>
          <w14:ligatures w14:val="none"/>
        </w:rPr>
        <w:fldChar w:fldCharType="separate"/>
      </w:r>
      <w:r w:rsidRPr="00D639D7">
        <w:rPr>
          <w:rFonts w:ascii="Arial" w:eastAsia="Times New Roman" w:hAnsi="Arial" w:cs="Arial"/>
          <w:color w:val="FC6B01"/>
          <w:kern w:val="0"/>
          <w:sz w:val="26"/>
          <w:szCs w:val="26"/>
          <w:u w:val="single"/>
          <w:lang w:eastAsia="es-UY"/>
          <w14:ligatures w14:val="none"/>
        </w:rPr>
        <w:t>Auricélia</w:t>
      </w:r>
      <w:proofErr w:type="spellEnd"/>
      <w:r w:rsidRPr="00D639D7">
        <w:rPr>
          <w:rFonts w:ascii="Arial" w:eastAsia="Times New Roman" w:hAnsi="Arial" w:cs="Arial"/>
          <w:color w:val="FC6B01"/>
          <w:kern w:val="0"/>
          <w:sz w:val="26"/>
          <w:szCs w:val="26"/>
          <w:u w:val="single"/>
          <w:lang w:eastAsia="es-UY"/>
          <w14:ligatures w14:val="none"/>
        </w:rPr>
        <w:t xml:space="preserve"> Arapiun , los líderes indígenas de la </w:t>
      </w:r>
      <w:r w:rsidRPr="00D639D7">
        <w:rPr>
          <w:rFonts w:ascii="Arial" w:eastAsia="Times New Roman" w:hAnsi="Arial" w:cs="Arial"/>
          <w:color w:val="333333"/>
          <w:kern w:val="0"/>
          <w:sz w:val="26"/>
          <w:szCs w:val="26"/>
          <w:lang w:eastAsia="es-UY"/>
          <w14:ligatures w14:val="none"/>
        </w:rPr>
        <w:fldChar w:fldCharType="end"/>
      </w:r>
      <w:r w:rsidRPr="00D639D7">
        <w:rPr>
          <w:rFonts w:ascii="Arial" w:eastAsia="Times New Roman" w:hAnsi="Arial" w:cs="Arial"/>
          <w:b/>
          <w:bCs/>
          <w:color w:val="333333"/>
          <w:kern w:val="0"/>
          <w:sz w:val="26"/>
          <w:szCs w:val="26"/>
          <w:lang w:eastAsia="es-UY"/>
          <w14:ligatures w14:val="none"/>
        </w:rPr>
        <w:t xml:space="preserve">región del Bajo </w:t>
      </w:r>
      <w:r w:rsidRPr="00D639D7">
        <w:rPr>
          <w:rFonts w:ascii="Arial" w:eastAsia="Times New Roman" w:hAnsi="Arial" w:cs="Arial"/>
          <w:b/>
          <w:bCs/>
          <w:color w:val="333333"/>
          <w:kern w:val="0"/>
          <w:sz w:val="26"/>
          <w:szCs w:val="26"/>
          <w:lang w:eastAsia="es-UY"/>
          <w14:ligatures w14:val="none"/>
        </w:rPr>
        <w:lastRenderedPageBreak/>
        <w:t>Tapajós</w:t>
      </w:r>
      <w:r w:rsidRPr="00D639D7">
        <w:rPr>
          <w:rFonts w:ascii="Arial" w:eastAsia="Times New Roman" w:hAnsi="Arial" w:cs="Arial"/>
          <w:color w:val="333333"/>
          <w:kern w:val="0"/>
          <w:sz w:val="26"/>
          <w:szCs w:val="26"/>
          <w:lang w:eastAsia="es-UY"/>
          <w14:ligatures w14:val="none"/>
        </w:rPr>
        <w:t> permanecerán movilizados y vigilantes, siguiendo de cerca cada detalle de la decisión.</w:t>
      </w:r>
    </w:p>
    <w:p w14:paraId="2810123F"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Formalmente, el juicio versa sobre la constitucionalidad de una medida provisional que redujo los límites de una unidad de conservación.</w:t>
      </w:r>
    </w:p>
    <w:p w14:paraId="0B98D3D5"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En términos prácticos, determina la viabilidad de un proyecto mucho mayor: la consolidación del </w:t>
      </w:r>
      <w:hyperlink r:id="rId7" w:tgtFrame="_blank" w:history="1">
        <w:r w:rsidRPr="00D639D7">
          <w:rPr>
            <w:rFonts w:ascii="Arial" w:eastAsia="Times New Roman" w:hAnsi="Arial" w:cs="Arial"/>
            <w:color w:val="FC6B01"/>
            <w:kern w:val="0"/>
            <w:sz w:val="26"/>
            <w:szCs w:val="26"/>
            <w:u w:val="single"/>
            <w:lang w:eastAsia="es-UY"/>
            <w14:ligatures w14:val="none"/>
          </w:rPr>
          <w:t xml:space="preserve">ferrocarril de </w:t>
        </w:r>
        <w:proofErr w:type="spellStart"/>
        <w:r w:rsidRPr="00D639D7">
          <w:rPr>
            <w:rFonts w:ascii="Arial" w:eastAsia="Times New Roman" w:hAnsi="Arial" w:cs="Arial"/>
            <w:color w:val="FC6B01"/>
            <w:kern w:val="0"/>
            <w:sz w:val="26"/>
            <w:szCs w:val="26"/>
            <w:u w:val="single"/>
            <w:lang w:eastAsia="es-UY"/>
            <w14:ligatures w14:val="none"/>
          </w:rPr>
          <w:t>Ferrogrão</w:t>
        </w:r>
        <w:proofErr w:type="spellEnd"/>
      </w:hyperlink>
      <w:r w:rsidRPr="00D639D7">
        <w:rPr>
          <w:rFonts w:ascii="Arial" w:eastAsia="Times New Roman" w:hAnsi="Arial" w:cs="Arial"/>
          <w:color w:val="333333"/>
          <w:kern w:val="0"/>
          <w:sz w:val="26"/>
          <w:szCs w:val="26"/>
          <w:lang w:eastAsia="es-UY"/>
          <w14:ligatures w14:val="none"/>
        </w:rPr>
        <w:t> como eje estructurador del </w:t>
      </w:r>
      <w:r w:rsidRPr="00D639D7">
        <w:rPr>
          <w:rFonts w:ascii="Arial" w:eastAsia="Times New Roman" w:hAnsi="Arial" w:cs="Arial"/>
          <w:b/>
          <w:bCs/>
          <w:color w:val="333333"/>
          <w:kern w:val="0"/>
          <w:sz w:val="26"/>
          <w:szCs w:val="26"/>
          <w:lang w:eastAsia="es-UY"/>
          <w14:ligatures w14:val="none"/>
        </w:rPr>
        <w:t>Arco Norte</w:t>
      </w:r>
      <w:r w:rsidRPr="00D639D7">
        <w:rPr>
          <w:rFonts w:ascii="Arial" w:eastAsia="Times New Roman" w:hAnsi="Arial" w:cs="Arial"/>
          <w:color w:val="333333"/>
          <w:kern w:val="0"/>
          <w:sz w:val="26"/>
          <w:szCs w:val="26"/>
          <w:lang w:eastAsia="es-UY"/>
          <w14:ligatures w14:val="none"/>
        </w:rPr>
        <w:t> y, con ello, la reorganización funcional de la </w:t>
      </w:r>
      <w:hyperlink r:id="rId8" w:tgtFrame="_blank" w:history="1">
        <w:r w:rsidRPr="00D639D7">
          <w:rPr>
            <w:rFonts w:ascii="Arial" w:eastAsia="Times New Roman" w:hAnsi="Arial" w:cs="Arial"/>
            <w:color w:val="FC6B01"/>
            <w:kern w:val="0"/>
            <w:sz w:val="26"/>
            <w:szCs w:val="26"/>
            <w:u w:val="single"/>
            <w:lang w:eastAsia="es-UY"/>
            <w14:ligatures w14:val="none"/>
          </w:rPr>
          <w:t>Amazonía</w:t>
        </w:r>
      </w:hyperlink>
      <w:r w:rsidRPr="00D639D7">
        <w:rPr>
          <w:rFonts w:ascii="Arial" w:eastAsia="Times New Roman" w:hAnsi="Arial" w:cs="Arial"/>
          <w:color w:val="333333"/>
          <w:kern w:val="0"/>
          <w:sz w:val="26"/>
          <w:szCs w:val="26"/>
          <w:lang w:eastAsia="es-UY"/>
          <w14:ligatures w14:val="none"/>
        </w:rPr>
        <w:t> como corredor global para la exportación de materias primas.</w:t>
      </w:r>
    </w:p>
    <w:p w14:paraId="010336CC"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Los defensores del </w:t>
      </w:r>
      <w:r w:rsidRPr="00D639D7">
        <w:rPr>
          <w:rFonts w:ascii="Arial" w:eastAsia="Times New Roman" w:hAnsi="Arial" w:cs="Arial"/>
          <w:b/>
          <w:bCs/>
          <w:color w:val="333333"/>
          <w:kern w:val="0"/>
          <w:sz w:val="26"/>
          <w:szCs w:val="26"/>
          <w:lang w:eastAsia="es-UY"/>
          <w14:ligatures w14:val="none"/>
        </w:rPr>
        <w:t xml:space="preserve">ferrocarril de </w:t>
      </w:r>
      <w:proofErr w:type="spellStart"/>
      <w:r w:rsidRPr="00D639D7">
        <w:rPr>
          <w:rFonts w:ascii="Arial" w:eastAsia="Times New Roman" w:hAnsi="Arial" w:cs="Arial"/>
          <w:b/>
          <w:bCs/>
          <w:color w:val="333333"/>
          <w:kern w:val="0"/>
          <w:sz w:val="26"/>
          <w:szCs w:val="26"/>
          <w:lang w:eastAsia="es-UY"/>
          <w14:ligatures w14:val="none"/>
        </w:rPr>
        <w:t>Ferrogrão</w:t>
      </w:r>
      <w:proofErr w:type="spellEnd"/>
      <w:r w:rsidRPr="00D639D7">
        <w:rPr>
          <w:rFonts w:ascii="Arial" w:eastAsia="Times New Roman" w:hAnsi="Arial" w:cs="Arial"/>
          <w:color w:val="333333"/>
          <w:kern w:val="0"/>
          <w:sz w:val="26"/>
          <w:szCs w:val="26"/>
          <w:lang w:eastAsia="es-UY"/>
          <w14:ligatures w14:val="none"/>
        </w:rPr>
        <w:t> insisten en considerarlo un proyecto de infraestructura. Un ferrocarril de 933 kilómetros, que conecta </w:t>
      </w:r>
      <w:r w:rsidRPr="00D639D7">
        <w:rPr>
          <w:rFonts w:ascii="Arial" w:eastAsia="Times New Roman" w:hAnsi="Arial" w:cs="Arial"/>
          <w:b/>
          <w:bCs/>
          <w:color w:val="333333"/>
          <w:kern w:val="0"/>
          <w:sz w:val="26"/>
          <w:szCs w:val="26"/>
          <w:lang w:eastAsia="es-UY"/>
          <w14:ligatures w14:val="none"/>
        </w:rPr>
        <w:t>Mato Grosso</w:t>
      </w:r>
      <w:r w:rsidRPr="00D639D7">
        <w:rPr>
          <w:rFonts w:ascii="Arial" w:eastAsia="Times New Roman" w:hAnsi="Arial" w:cs="Arial"/>
          <w:color w:val="333333"/>
          <w:kern w:val="0"/>
          <w:sz w:val="26"/>
          <w:szCs w:val="26"/>
          <w:lang w:eastAsia="es-UY"/>
          <w14:ligatures w14:val="none"/>
        </w:rPr>
        <w:t> con </w:t>
      </w:r>
      <w:r w:rsidRPr="00D639D7">
        <w:rPr>
          <w:rFonts w:ascii="Arial" w:eastAsia="Times New Roman" w:hAnsi="Arial" w:cs="Arial"/>
          <w:b/>
          <w:bCs/>
          <w:color w:val="333333"/>
          <w:kern w:val="0"/>
          <w:sz w:val="26"/>
          <w:szCs w:val="26"/>
          <w:lang w:eastAsia="es-UY"/>
          <w14:ligatures w14:val="none"/>
        </w:rPr>
        <w:t>Pará</w:t>
      </w:r>
      <w:r w:rsidRPr="00D639D7">
        <w:rPr>
          <w:rFonts w:ascii="Arial" w:eastAsia="Times New Roman" w:hAnsi="Arial" w:cs="Arial"/>
          <w:color w:val="333333"/>
          <w:kern w:val="0"/>
          <w:sz w:val="26"/>
          <w:szCs w:val="26"/>
          <w:lang w:eastAsia="es-UY"/>
          <w14:ligatures w14:val="none"/>
        </w:rPr>
        <w:t> , tiene como objetivo reducir los costos logísticos y aumentar la competitividad del agronegocio brasileño. A esto se suma el argumento recurrente de descarbonizar el transporte de granos, que aboga por reemplazar el transporte por carretera con el transporte ferroviario y fluvial como una forma de reducir las emisiones de gases de efecto invernadero que exacerban la crisis climática.</w:t>
      </w:r>
    </w:p>
    <w:p w14:paraId="7359EE39"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Pero esta narrativa es cuestionada por los pueblos afectados. Como afirmó el jefe </w:t>
      </w:r>
      <w:r w:rsidRPr="00D639D7">
        <w:rPr>
          <w:rFonts w:ascii="Arial" w:eastAsia="Times New Roman" w:hAnsi="Arial" w:cs="Arial"/>
          <w:b/>
          <w:bCs/>
          <w:color w:val="333333"/>
          <w:kern w:val="0"/>
          <w:sz w:val="26"/>
          <w:szCs w:val="26"/>
          <w:lang w:eastAsia="es-UY"/>
          <w14:ligatures w14:val="none"/>
        </w:rPr>
        <w:t>Gilson Tupinambá</w:t>
      </w:r>
      <w:r w:rsidRPr="00D639D7">
        <w:rPr>
          <w:rFonts w:ascii="Arial" w:eastAsia="Times New Roman" w:hAnsi="Arial" w:cs="Arial"/>
          <w:color w:val="333333"/>
          <w:kern w:val="0"/>
          <w:sz w:val="26"/>
          <w:szCs w:val="26"/>
          <w:lang w:eastAsia="es-UY"/>
          <w14:ligatures w14:val="none"/>
        </w:rPr>
        <w:t> en una conversación en el </w:t>
      </w:r>
      <w:r w:rsidRPr="00D639D7">
        <w:rPr>
          <w:rFonts w:ascii="Arial" w:eastAsia="Times New Roman" w:hAnsi="Arial" w:cs="Arial"/>
          <w:b/>
          <w:bCs/>
          <w:color w:val="333333"/>
          <w:kern w:val="0"/>
          <w:sz w:val="26"/>
          <w:szCs w:val="26"/>
          <w:lang w:eastAsia="es-UY"/>
          <w14:ligatures w14:val="none"/>
        </w:rPr>
        <w:t>territorio indígena Tupinambá</w:t>
      </w:r>
      <w:r w:rsidRPr="00D639D7">
        <w:rPr>
          <w:rFonts w:ascii="Arial" w:eastAsia="Times New Roman" w:hAnsi="Arial" w:cs="Arial"/>
          <w:color w:val="333333"/>
          <w:kern w:val="0"/>
          <w:sz w:val="26"/>
          <w:szCs w:val="26"/>
          <w:lang w:eastAsia="es-UY"/>
          <w14:ligatures w14:val="none"/>
        </w:rPr>
        <w:t> : «Si quieren reducir las emisiones, deberían dejar de destruir los bosques para plantar soja». Esta retórica desarrollista resulta insuficiente y está sesgada políticamente.</w:t>
      </w:r>
    </w:p>
    <w:p w14:paraId="5C14F0CD"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proofErr w:type="spellStart"/>
      <w:r w:rsidRPr="00D639D7">
        <w:rPr>
          <w:rFonts w:ascii="Arial" w:eastAsia="Times New Roman" w:hAnsi="Arial" w:cs="Arial"/>
          <w:color w:val="333333"/>
          <w:kern w:val="0"/>
          <w:sz w:val="26"/>
          <w:szCs w:val="26"/>
          <w:lang w:eastAsia="es-UY"/>
          <w14:ligatures w14:val="none"/>
        </w:rPr>
        <w:t>Ferrogrão</w:t>
      </w:r>
      <w:proofErr w:type="spellEnd"/>
      <w:r w:rsidRPr="00D639D7">
        <w:rPr>
          <w:rFonts w:ascii="Arial" w:eastAsia="Times New Roman" w:hAnsi="Arial" w:cs="Arial"/>
          <w:color w:val="333333"/>
          <w:kern w:val="0"/>
          <w:sz w:val="26"/>
          <w:szCs w:val="26"/>
          <w:lang w:eastAsia="es-UY"/>
          <w14:ligatures w14:val="none"/>
        </w:rPr>
        <w:t> no es un proyecto de construcción; es un sistema. Conecta con la </w:t>
      </w:r>
      <w:r w:rsidRPr="00D639D7">
        <w:rPr>
          <w:rFonts w:ascii="Arial" w:eastAsia="Times New Roman" w:hAnsi="Arial" w:cs="Arial"/>
          <w:b/>
          <w:bCs/>
          <w:color w:val="333333"/>
          <w:kern w:val="0"/>
          <w:sz w:val="26"/>
          <w:szCs w:val="26"/>
          <w:lang w:eastAsia="es-UY"/>
          <w14:ligatures w14:val="none"/>
        </w:rPr>
        <w:t>carretera BR</w:t>
      </w:r>
      <w:r w:rsidRPr="00D639D7">
        <w:rPr>
          <w:rFonts w:ascii="Arial" w:eastAsia="Times New Roman" w:hAnsi="Arial" w:cs="Arial"/>
          <w:color w:val="333333"/>
          <w:kern w:val="0"/>
          <w:sz w:val="26"/>
          <w:szCs w:val="26"/>
          <w:lang w:eastAsia="es-UY"/>
          <w14:ligatures w14:val="none"/>
        </w:rPr>
        <w:t> - </w:t>
      </w:r>
      <w:r w:rsidRPr="00D639D7">
        <w:rPr>
          <w:rFonts w:ascii="Arial" w:eastAsia="Times New Roman" w:hAnsi="Arial" w:cs="Arial"/>
          <w:b/>
          <w:bCs/>
          <w:color w:val="333333"/>
          <w:kern w:val="0"/>
          <w:sz w:val="26"/>
          <w:szCs w:val="26"/>
          <w:lang w:eastAsia="es-UY"/>
          <w14:ligatures w14:val="none"/>
        </w:rPr>
        <w:t>163</w:t>
      </w:r>
      <w:r w:rsidRPr="00D639D7">
        <w:rPr>
          <w:rFonts w:ascii="Arial" w:eastAsia="Times New Roman" w:hAnsi="Arial" w:cs="Arial"/>
          <w:color w:val="333333"/>
          <w:kern w:val="0"/>
          <w:sz w:val="26"/>
          <w:szCs w:val="26"/>
          <w:lang w:eastAsia="es-UY"/>
          <w14:ligatures w14:val="none"/>
        </w:rPr>
        <w:t> , con puertos públicos y privados, con estaciones de transbordo y, sobre todo, con las vías fluviales </w:t>
      </w:r>
      <w:r w:rsidRPr="00D639D7">
        <w:rPr>
          <w:rFonts w:ascii="Arial" w:eastAsia="Times New Roman" w:hAnsi="Arial" w:cs="Arial"/>
          <w:b/>
          <w:bCs/>
          <w:color w:val="333333"/>
          <w:kern w:val="0"/>
          <w:sz w:val="26"/>
          <w:szCs w:val="26"/>
          <w:lang w:eastAsia="es-UY"/>
          <w14:ligatures w14:val="none"/>
        </w:rPr>
        <w:t>del Tapajós</w:t>
      </w:r>
      <w:r w:rsidRPr="00D639D7">
        <w:rPr>
          <w:rFonts w:ascii="Arial" w:eastAsia="Times New Roman" w:hAnsi="Arial" w:cs="Arial"/>
          <w:color w:val="333333"/>
          <w:kern w:val="0"/>
          <w:sz w:val="26"/>
          <w:szCs w:val="26"/>
          <w:lang w:eastAsia="es-UY"/>
          <w14:ligatures w14:val="none"/>
        </w:rPr>
        <w:t> . Según datos presentados por el </w:t>
      </w:r>
      <w:r w:rsidRPr="00D639D7">
        <w:rPr>
          <w:rFonts w:ascii="Arial" w:eastAsia="Times New Roman" w:hAnsi="Arial" w:cs="Arial"/>
          <w:b/>
          <w:bCs/>
          <w:color w:val="333333"/>
          <w:kern w:val="0"/>
          <w:sz w:val="26"/>
          <w:szCs w:val="26"/>
          <w:lang w:eastAsia="es-UY"/>
          <w14:ligatures w14:val="none"/>
        </w:rPr>
        <w:t>Grupo de Trabajo sobre Infraestructura y Justicia Socioambiental en la Amazonía</w:t>
      </w:r>
      <w:r w:rsidRPr="00D639D7">
        <w:rPr>
          <w:rFonts w:ascii="Arial" w:eastAsia="Times New Roman" w:hAnsi="Arial" w:cs="Arial"/>
          <w:color w:val="333333"/>
          <w:kern w:val="0"/>
          <w:sz w:val="26"/>
          <w:szCs w:val="26"/>
          <w:lang w:eastAsia="es-UY"/>
          <w14:ligatures w14:val="none"/>
        </w:rPr>
        <w:t> , en los tramos medio e inferior del </w:t>
      </w:r>
      <w:hyperlink r:id="rId9" w:tgtFrame="_blank" w:history="1">
        <w:r w:rsidRPr="00D639D7">
          <w:rPr>
            <w:rFonts w:ascii="Arial" w:eastAsia="Times New Roman" w:hAnsi="Arial" w:cs="Arial"/>
            <w:color w:val="FC6B01"/>
            <w:kern w:val="0"/>
            <w:sz w:val="26"/>
            <w:szCs w:val="26"/>
            <w:u w:val="single"/>
            <w:lang w:eastAsia="es-UY"/>
            <w14:ligatures w14:val="none"/>
          </w:rPr>
          <w:t>río Tapajós</w:t>
        </w:r>
      </w:hyperlink>
      <w:r w:rsidRPr="00D639D7">
        <w:rPr>
          <w:rFonts w:ascii="Arial" w:eastAsia="Times New Roman" w:hAnsi="Arial" w:cs="Arial"/>
          <w:color w:val="333333"/>
          <w:kern w:val="0"/>
          <w:sz w:val="26"/>
          <w:szCs w:val="26"/>
          <w:lang w:eastAsia="es-UY"/>
          <w14:ligatures w14:val="none"/>
        </w:rPr>
        <w:t xml:space="preserve"> existen más de cuarenta puertos construidos, en operación o planificados. Lo que está en marcha no es solo la instalación de un ferrocarril, sino el ensamblaje de un mecanismo territorial que reorganiza </w:t>
      </w:r>
      <w:proofErr w:type="gramStart"/>
      <w:r w:rsidRPr="00D639D7">
        <w:rPr>
          <w:rFonts w:ascii="Arial" w:eastAsia="Times New Roman" w:hAnsi="Arial" w:cs="Arial"/>
          <w:color w:val="333333"/>
          <w:kern w:val="0"/>
          <w:sz w:val="26"/>
          <w:szCs w:val="26"/>
          <w:lang w:eastAsia="es-UY"/>
          <w14:ligatures w14:val="none"/>
        </w:rPr>
        <w:t>flujos,</w:t>
      </w:r>
      <w:proofErr w:type="gramEnd"/>
      <w:r w:rsidRPr="00D639D7">
        <w:rPr>
          <w:rFonts w:ascii="Arial" w:eastAsia="Times New Roman" w:hAnsi="Arial" w:cs="Arial"/>
          <w:color w:val="333333"/>
          <w:kern w:val="0"/>
          <w:sz w:val="26"/>
          <w:szCs w:val="26"/>
          <w:lang w:eastAsia="es-UY"/>
          <w14:ligatures w14:val="none"/>
        </w:rPr>
        <w:t xml:space="preserve"> redefine usos y altera profundamente el significado de la ocupación de la </w:t>
      </w:r>
      <w:r w:rsidRPr="00D639D7">
        <w:rPr>
          <w:rFonts w:ascii="Arial" w:eastAsia="Times New Roman" w:hAnsi="Arial" w:cs="Arial"/>
          <w:b/>
          <w:bCs/>
          <w:color w:val="333333"/>
          <w:kern w:val="0"/>
          <w:sz w:val="26"/>
          <w:szCs w:val="26"/>
          <w:lang w:eastAsia="es-UY"/>
          <w14:ligatures w14:val="none"/>
        </w:rPr>
        <w:t>Amazonía</w:t>
      </w:r>
      <w:r w:rsidRPr="00D639D7">
        <w:rPr>
          <w:rFonts w:ascii="Arial" w:eastAsia="Times New Roman" w:hAnsi="Arial" w:cs="Arial"/>
          <w:color w:val="333333"/>
          <w:kern w:val="0"/>
          <w:sz w:val="26"/>
          <w:szCs w:val="26"/>
          <w:lang w:eastAsia="es-UY"/>
          <w14:ligatures w14:val="none"/>
        </w:rPr>
        <w:t> .</w:t>
      </w:r>
    </w:p>
    <w:p w14:paraId="2A66C3A9"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En este modelo, los ríos dejan de ser territorios vivos y se convierten en canales de drenaje. Los territorios dejan de ser espacios de existencia, morada de lo encantado, y se convierten en plataformas logísticas destinadas al mercado internacional.</w:t>
      </w:r>
    </w:p>
    <w:p w14:paraId="436D0668"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Tapajós , hoy en día, es el nombre de una disputa </w:t>
      </w:r>
      <w:r w:rsidRPr="00D639D7">
        <w:rPr>
          <w:rFonts w:ascii="Arial" w:eastAsia="Times New Roman" w:hAnsi="Arial" w:cs="Arial"/>
          <w:b/>
          <w:bCs/>
          <w:color w:val="333333"/>
          <w:kern w:val="0"/>
          <w:sz w:val="26"/>
          <w:szCs w:val="26"/>
          <w:lang w:eastAsia="es-UY"/>
          <w14:ligatures w14:val="none"/>
        </w:rPr>
        <w:t>.</w:t>
      </w:r>
    </w:p>
    <w:p w14:paraId="489B9FB8"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El fallo de la </w:t>
      </w:r>
      <w:r w:rsidRPr="00D639D7">
        <w:rPr>
          <w:rFonts w:ascii="Arial" w:eastAsia="Times New Roman" w:hAnsi="Arial" w:cs="Arial"/>
          <w:b/>
          <w:bCs/>
          <w:color w:val="333333"/>
          <w:kern w:val="0"/>
          <w:sz w:val="26"/>
          <w:szCs w:val="26"/>
          <w:lang w:eastAsia="es-UY"/>
          <w14:ligatures w14:val="none"/>
        </w:rPr>
        <w:t>Corte Suprema</w:t>
      </w:r>
      <w:r w:rsidRPr="00D639D7">
        <w:rPr>
          <w:rFonts w:ascii="Arial" w:eastAsia="Times New Roman" w:hAnsi="Arial" w:cs="Arial"/>
          <w:color w:val="333333"/>
          <w:kern w:val="0"/>
          <w:sz w:val="26"/>
          <w:szCs w:val="26"/>
          <w:lang w:eastAsia="es-UY"/>
          <w14:ligatures w14:val="none"/>
        </w:rPr>
        <w:t> pone de relieve un patrón recurrente en la forma en que los grandes proyectos avanzan en la </w:t>
      </w:r>
      <w:r w:rsidRPr="00D639D7">
        <w:rPr>
          <w:rFonts w:ascii="Arial" w:eastAsia="Times New Roman" w:hAnsi="Arial" w:cs="Arial"/>
          <w:b/>
          <w:bCs/>
          <w:color w:val="333333"/>
          <w:kern w:val="0"/>
          <w:sz w:val="26"/>
          <w:szCs w:val="26"/>
          <w:lang w:eastAsia="es-UY"/>
          <w14:ligatures w14:val="none"/>
        </w:rPr>
        <w:t>Amazonía</w:t>
      </w:r>
      <w:r w:rsidRPr="00D639D7">
        <w:rPr>
          <w:rFonts w:ascii="Arial" w:eastAsia="Times New Roman" w:hAnsi="Arial" w:cs="Arial"/>
          <w:color w:val="333333"/>
          <w:kern w:val="0"/>
          <w:sz w:val="26"/>
          <w:szCs w:val="26"/>
          <w:lang w:eastAsia="es-UY"/>
          <w14:ligatures w14:val="none"/>
        </w:rPr>
        <w:t> . No se trata solo de construir infraestructura, sino de adaptar el territorio para que sea posible.</w:t>
      </w:r>
    </w:p>
    <w:p w14:paraId="154B2AD1"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La reducción de 832 hectáreas del </w:t>
      </w:r>
      <w:r w:rsidRPr="00D639D7">
        <w:rPr>
          <w:rFonts w:ascii="Arial" w:eastAsia="Times New Roman" w:hAnsi="Arial" w:cs="Arial"/>
          <w:b/>
          <w:bCs/>
          <w:color w:val="333333"/>
          <w:kern w:val="0"/>
          <w:sz w:val="26"/>
          <w:szCs w:val="26"/>
          <w:lang w:eastAsia="es-UY"/>
          <w14:ligatures w14:val="none"/>
        </w:rPr>
        <w:t xml:space="preserve">Parque Nacional </w:t>
      </w:r>
      <w:proofErr w:type="spellStart"/>
      <w:r w:rsidRPr="00D639D7">
        <w:rPr>
          <w:rFonts w:ascii="Arial" w:eastAsia="Times New Roman" w:hAnsi="Arial" w:cs="Arial"/>
          <w:b/>
          <w:bCs/>
          <w:color w:val="333333"/>
          <w:kern w:val="0"/>
          <w:sz w:val="26"/>
          <w:szCs w:val="26"/>
          <w:lang w:eastAsia="es-UY"/>
          <w14:ligatures w14:val="none"/>
        </w:rPr>
        <w:t>Jamanxim</w:t>
      </w:r>
      <w:proofErr w:type="spellEnd"/>
      <w:r w:rsidRPr="00D639D7">
        <w:rPr>
          <w:rFonts w:ascii="Arial" w:eastAsia="Times New Roman" w:hAnsi="Arial" w:cs="Arial"/>
          <w:color w:val="333333"/>
          <w:kern w:val="0"/>
          <w:sz w:val="26"/>
          <w:szCs w:val="26"/>
          <w:lang w:eastAsia="es-UY"/>
          <w14:ligatures w14:val="none"/>
        </w:rPr>
        <w:t> , objeto de la </w:t>
      </w:r>
      <w:r w:rsidRPr="00D639D7">
        <w:rPr>
          <w:rFonts w:ascii="Arial" w:eastAsia="Times New Roman" w:hAnsi="Arial" w:cs="Arial"/>
          <w:b/>
          <w:bCs/>
          <w:color w:val="333333"/>
          <w:kern w:val="0"/>
          <w:sz w:val="26"/>
          <w:szCs w:val="26"/>
          <w:lang w:eastAsia="es-UY"/>
          <w14:ligatures w14:val="none"/>
        </w:rPr>
        <w:t>Acción Directa de Inconstitucionalidad</w:t>
      </w:r>
      <w:r w:rsidRPr="00D639D7">
        <w:rPr>
          <w:rFonts w:ascii="Arial" w:eastAsia="Times New Roman" w:hAnsi="Arial" w:cs="Arial"/>
          <w:color w:val="333333"/>
          <w:kern w:val="0"/>
          <w:sz w:val="26"/>
          <w:szCs w:val="26"/>
          <w:lang w:eastAsia="es-UY"/>
          <w14:ligatures w14:val="none"/>
        </w:rPr>
        <w:t> ante el </w:t>
      </w:r>
      <w:r w:rsidRPr="00D639D7">
        <w:rPr>
          <w:rFonts w:ascii="Arial" w:eastAsia="Times New Roman" w:hAnsi="Arial" w:cs="Arial"/>
          <w:b/>
          <w:bCs/>
          <w:color w:val="333333"/>
          <w:kern w:val="0"/>
          <w:sz w:val="26"/>
          <w:szCs w:val="26"/>
          <w:lang w:eastAsia="es-UY"/>
          <w14:ligatures w14:val="none"/>
        </w:rPr>
        <w:t>Tribunal Supremo Federal</w:t>
      </w:r>
      <w:r w:rsidRPr="00D639D7">
        <w:rPr>
          <w:rFonts w:ascii="Arial" w:eastAsia="Times New Roman" w:hAnsi="Arial" w:cs="Arial"/>
          <w:color w:val="333333"/>
          <w:kern w:val="0"/>
          <w:sz w:val="26"/>
          <w:szCs w:val="26"/>
          <w:lang w:eastAsia="es-UY"/>
          <w14:ligatures w14:val="none"/>
        </w:rPr>
        <w:t> , no surgió de la nada. Proviene de una medida cautelar que constituye la base jurídica necesaria para el trazado del </w:t>
      </w:r>
      <w:r w:rsidRPr="00D639D7">
        <w:rPr>
          <w:rFonts w:ascii="Arial" w:eastAsia="Times New Roman" w:hAnsi="Arial" w:cs="Arial"/>
          <w:b/>
          <w:bCs/>
          <w:color w:val="333333"/>
          <w:kern w:val="0"/>
          <w:sz w:val="26"/>
          <w:szCs w:val="26"/>
          <w:lang w:eastAsia="es-UY"/>
          <w14:ligatures w14:val="none"/>
        </w:rPr>
        <w:t xml:space="preserve">ferrocarril de </w:t>
      </w:r>
      <w:proofErr w:type="spellStart"/>
      <w:r w:rsidRPr="00D639D7">
        <w:rPr>
          <w:rFonts w:ascii="Arial" w:eastAsia="Times New Roman" w:hAnsi="Arial" w:cs="Arial"/>
          <w:b/>
          <w:bCs/>
          <w:color w:val="333333"/>
          <w:kern w:val="0"/>
          <w:sz w:val="26"/>
          <w:szCs w:val="26"/>
          <w:lang w:eastAsia="es-UY"/>
          <w14:ligatures w14:val="none"/>
        </w:rPr>
        <w:t>Ferrogrão</w:t>
      </w:r>
      <w:proofErr w:type="spellEnd"/>
      <w:r w:rsidRPr="00D639D7">
        <w:rPr>
          <w:rFonts w:ascii="Arial" w:eastAsia="Times New Roman" w:hAnsi="Arial" w:cs="Arial"/>
          <w:color w:val="333333"/>
          <w:kern w:val="0"/>
          <w:sz w:val="26"/>
          <w:szCs w:val="26"/>
          <w:lang w:eastAsia="es-UY"/>
          <w14:ligatures w14:val="none"/>
        </w:rPr>
        <w:t xml:space="preserve"> . Sin esta modificación, impulsada por la medida cautelar, el </w:t>
      </w:r>
      <w:r w:rsidRPr="00D639D7">
        <w:rPr>
          <w:rFonts w:ascii="Arial" w:eastAsia="Times New Roman" w:hAnsi="Arial" w:cs="Arial"/>
          <w:color w:val="333333"/>
          <w:kern w:val="0"/>
          <w:sz w:val="26"/>
          <w:szCs w:val="26"/>
          <w:lang w:eastAsia="es-UY"/>
          <w14:ligatures w14:val="none"/>
        </w:rPr>
        <w:lastRenderedPageBreak/>
        <w:t>proyecto se enfrenta a importantes obstáculos legales. Con ella, gana viabilidad.</w:t>
      </w:r>
    </w:p>
    <w:p w14:paraId="7FB646A6"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Por lo tanto, la cuestión trasciende el debate jurídico sobre medidas provisionales o los límites de las unidades de conservación. Lo que está en juego es la consolidación de un modelo en el que las áreas protegidas pueden redefinirse para dar cabida a proyectos económicos previamente establecidos. Y esto nos lleva a una dimensión más profunda del conflicto.</w:t>
      </w:r>
    </w:p>
    <w:p w14:paraId="0EC14D63"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Un análisis territorial nos permite comprender que las unidades de conservación totalmente protegidas no son meros instrumentos de preservación ambiental. También pueden funcionar como mecanismos para la gestión geopolítica del territorio. Históricamente, la creación de estas categorías, especialmente en contextos con escasa participación, se asocia con la restricción del uso de la tierra por parte de las poblaciones tradicionales, la ruptura de los lazos territoriales y la erosión del sentido de pertenencia. El territorio queda formalmente protegido por el Estado, pero también queda políticamente vacío.</w:t>
      </w:r>
    </w:p>
    <w:p w14:paraId="28C284D7"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Décadas después, ese mismo territorio puede redimensionarse, hacerse más flexible o desclasificarse parcialmente para permitir proyectos considerados de utilidad pública, como la minería, la energía y la infraestructura logística.</w:t>
      </w:r>
    </w:p>
    <w:p w14:paraId="496EF695"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Lo que observamos, entonces, es un movimiento a largo plazo: primero, el territorio se reorganiza bajo la lógica de la protección ambiental; luego, ese mismo territorio se reconfigura bajo la lógica de la explotación. En este sentido, el caso del </w:t>
      </w:r>
      <w:hyperlink r:id="rId10" w:tgtFrame="_blank" w:history="1">
        <w:r w:rsidRPr="00D639D7">
          <w:rPr>
            <w:rFonts w:ascii="Arial" w:eastAsia="Times New Roman" w:hAnsi="Arial" w:cs="Arial"/>
            <w:color w:val="FC6B01"/>
            <w:kern w:val="0"/>
            <w:sz w:val="26"/>
            <w:szCs w:val="26"/>
            <w:u w:val="single"/>
            <w:lang w:eastAsia="es-UY"/>
            <w14:ligatures w14:val="none"/>
          </w:rPr>
          <w:t xml:space="preserve">Parque Nacional </w:t>
        </w:r>
        <w:proofErr w:type="spellStart"/>
        <w:r w:rsidRPr="00D639D7">
          <w:rPr>
            <w:rFonts w:ascii="Arial" w:eastAsia="Times New Roman" w:hAnsi="Arial" w:cs="Arial"/>
            <w:color w:val="FC6B01"/>
            <w:kern w:val="0"/>
            <w:sz w:val="26"/>
            <w:szCs w:val="26"/>
            <w:u w:val="single"/>
            <w:lang w:eastAsia="es-UY"/>
            <w14:ligatures w14:val="none"/>
          </w:rPr>
          <w:t>Jamanxim</w:t>
        </w:r>
        <w:proofErr w:type="spellEnd"/>
      </w:hyperlink>
      <w:r w:rsidRPr="00D639D7">
        <w:rPr>
          <w:rFonts w:ascii="Arial" w:eastAsia="Times New Roman" w:hAnsi="Arial" w:cs="Arial"/>
          <w:color w:val="333333"/>
          <w:kern w:val="0"/>
          <w:sz w:val="26"/>
          <w:szCs w:val="26"/>
          <w:lang w:eastAsia="es-UY"/>
          <w14:ligatures w14:val="none"/>
        </w:rPr>
        <w:t> no es una excepción. Revela un método.</w:t>
      </w:r>
    </w:p>
    <w:p w14:paraId="40F6A119"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Esta dinámica forma parte de un marco más amplio: la actualización de un modelo de desarrollo dependiente. La Amazonía se integra progresivamente en los circuitos globales no como un centro de toma de decisiones, sino como un espacio funcional para la exportación de materias primas.</w:t>
      </w:r>
    </w:p>
    <w:p w14:paraId="508F164C"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Los proyectos de infraestructura como el </w:t>
      </w:r>
      <w:r w:rsidRPr="00D639D7">
        <w:rPr>
          <w:rFonts w:ascii="Arial" w:eastAsia="Times New Roman" w:hAnsi="Arial" w:cs="Arial"/>
          <w:b/>
          <w:bCs/>
          <w:color w:val="333333"/>
          <w:kern w:val="0"/>
          <w:sz w:val="26"/>
          <w:szCs w:val="26"/>
          <w:lang w:eastAsia="es-UY"/>
          <w14:ligatures w14:val="none"/>
        </w:rPr>
        <w:t xml:space="preserve">ferrocarril de </w:t>
      </w:r>
      <w:proofErr w:type="spellStart"/>
      <w:r w:rsidRPr="00D639D7">
        <w:rPr>
          <w:rFonts w:ascii="Arial" w:eastAsia="Times New Roman" w:hAnsi="Arial" w:cs="Arial"/>
          <w:b/>
          <w:bCs/>
          <w:color w:val="333333"/>
          <w:kern w:val="0"/>
          <w:sz w:val="26"/>
          <w:szCs w:val="26"/>
          <w:lang w:eastAsia="es-UY"/>
          <w14:ligatures w14:val="none"/>
        </w:rPr>
        <w:t>Ferrogrão</w:t>
      </w:r>
      <w:proofErr w:type="spellEnd"/>
      <w:r w:rsidRPr="00D639D7">
        <w:rPr>
          <w:rFonts w:ascii="Arial" w:eastAsia="Times New Roman" w:hAnsi="Arial" w:cs="Arial"/>
          <w:color w:val="333333"/>
          <w:kern w:val="0"/>
          <w:sz w:val="26"/>
          <w:szCs w:val="26"/>
          <w:lang w:eastAsia="es-UY"/>
          <w14:ligatures w14:val="none"/>
        </w:rPr>
        <w:t> no solo transportan la producción, sino que también impulsan la expansión de la frontera productiva. Diversos estudios indican que el conjunto de proyectos asociados al ferrocarril podría provocar la deforestación de cientos de miles de hectáreas en las próximas décadas. Al mismo tiempo, no garantizan una trazabilidad efectiva de las cadenas de producción agroindustrial y minimizan, en los estudios oficiales, la verdadera magnitud de los impactos sobre los pueblos indígenas, las comunidades tradicionales y el patrimonio cultural. En marzo de 2026, el </w:t>
      </w:r>
      <w:r w:rsidRPr="00D639D7">
        <w:rPr>
          <w:rFonts w:ascii="Arial" w:eastAsia="Times New Roman" w:hAnsi="Arial" w:cs="Arial"/>
          <w:b/>
          <w:bCs/>
          <w:color w:val="333333"/>
          <w:kern w:val="0"/>
          <w:sz w:val="26"/>
          <w:szCs w:val="26"/>
          <w:lang w:eastAsia="es-UY"/>
          <w14:ligatures w14:val="none"/>
        </w:rPr>
        <w:t>Tribunal Federal de Cuentas de Brasil</w:t>
      </w:r>
      <w:r w:rsidRPr="00D639D7">
        <w:rPr>
          <w:rFonts w:ascii="Arial" w:eastAsia="Times New Roman" w:hAnsi="Arial" w:cs="Arial"/>
          <w:color w:val="333333"/>
          <w:kern w:val="0"/>
          <w:sz w:val="26"/>
          <w:szCs w:val="26"/>
          <w:lang w:eastAsia="es-UY"/>
          <w14:ligatures w14:val="none"/>
        </w:rPr>
        <w:t> suspendió el análisis de la concesión </w:t>
      </w:r>
      <w:r w:rsidRPr="00D639D7">
        <w:rPr>
          <w:rFonts w:ascii="Arial" w:eastAsia="Times New Roman" w:hAnsi="Arial" w:cs="Arial"/>
          <w:b/>
          <w:bCs/>
          <w:color w:val="333333"/>
          <w:kern w:val="0"/>
          <w:sz w:val="26"/>
          <w:szCs w:val="26"/>
          <w:lang w:eastAsia="es-UY"/>
          <w14:ligatures w14:val="none"/>
        </w:rPr>
        <w:t xml:space="preserve">de </w:t>
      </w:r>
      <w:proofErr w:type="spellStart"/>
      <w:r w:rsidRPr="00D639D7">
        <w:rPr>
          <w:rFonts w:ascii="Arial" w:eastAsia="Times New Roman" w:hAnsi="Arial" w:cs="Arial"/>
          <w:b/>
          <w:bCs/>
          <w:color w:val="333333"/>
          <w:kern w:val="0"/>
          <w:sz w:val="26"/>
          <w:szCs w:val="26"/>
          <w:lang w:eastAsia="es-UY"/>
          <w14:ligatures w14:val="none"/>
        </w:rPr>
        <w:t>Ferrogrão</w:t>
      </w:r>
      <w:proofErr w:type="spellEnd"/>
      <w:r w:rsidRPr="00D639D7">
        <w:rPr>
          <w:rFonts w:ascii="Arial" w:eastAsia="Times New Roman" w:hAnsi="Arial" w:cs="Arial"/>
          <w:color w:val="333333"/>
          <w:kern w:val="0"/>
          <w:sz w:val="26"/>
          <w:szCs w:val="26"/>
          <w:lang w:eastAsia="es-UY"/>
          <w14:ligatures w14:val="none"/>
        </w:rPr>
        <w:t> , señalando graves irregularidades financieras y socioambientales, en particular la falta de consulta previa, libre e informada con los pueblos indígenas potencialmente afectados por el proyecto.</w:t>
      </w:r>
    </w:p>
    <w:p w14:paraId="1C572FC3"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 xml:space="preserve">Estos impactos socioambientales afectan directamente la economía regional y la seguridad alimentaria. Los ríos y bosques amazónicos no son </w:t>
      </w:r>
      <w:r w:rsidRPr="00D639D7">
        <w:rPr>
          <w:rFonts w:ascii="Arial" w:eastAsia="Times New Roman" w:hAnsi="Arial" w:cs="Arial"/>
          <w:color w:val="333333"/>
          <w:kern w:val="0"/>
          <w:sz w:val="26"/>
          <w:szCs w:val="26"/>
          <w:lang w:eastAsia="es-UY"/>
          <w14:ligatures w14:val="none"/>
        </w:rPr>
        <w:lastRenderedPageBreak/>
        <w:t xml:space="preserve">solo paisajes, sino sistemas productivos complejos que garantizan el sustento de millones de personas mediante la pesca y la gestión tradicional. La degradación de estos </w:t>
      </w:r>
      <w:proofErr w:type="gramStart"/>
      <w:r w:rsidRPr="00D639D7">
        <w:rPr>
          <w:rFonts w:ascii="Arial" w:eastAsia="Times New Roman" w:hAnsi="Arial" w:cs="Arial"/>
          <w:color w:val="333333"/>
          <w:kern w:val="0"/>
          <w:sz w:val="26"/>
          <w:szCs w:val="26"/>
          <w:lang w:eastAsia="es-UY"/>
          <w14:ligatures w14:val="none"/>
        </w:rPr>
        <w:t>entornos,</w:t>
      </w:r>
      <w:proofErr w:type="gramEnd"/>
      <w:r w:rsidRPr="00D639D7">
        <w:rPr>
          <w:rFonts w:ascii="Arial" w:eastAsia="Times New Roman" w:hAnsi="Arial" w:cs="Arial"/>
          <w:color w:val="333333"/>
          <w:kern w:val="0"/>
          <w:sz w:val="26"/>
          <w:szCs w:val="26"/>
          <w:lang w:eastAsia="es-UY"/>
          <w14:ligatures w14:val="none"/>
        </w:rPr>
        <w:t xml:space="preserve"> ya sea por dragado, contaminación o alteración del régimen hidrológico, compromete cadenas alimentarias enteras, reduce las poblaciones de peces y afecta tanto a las comunidades locales como a los centros urbanos que dependen de estos recursos. Al mismo tiempo, los procesos de contaminación por sedimentos, mercurio y otros contaminantes aumentan los riesgos para la salud pública y debilitan la soberanía alimentaria de estos territorios.</w:t>
      </w:r>
    </w:p>
    <w:p w14:paraId="57D0109F"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También se han identificado cientos de yacimientos arqueológicos en la zona de influencia, incluyendo lugares de profunda importancia para pueblos como los </w:t>
      </w:r>
      <w:proofErr w:type="spellStart"/>
      <w:r w:rsidRPr="00D639D7">
        <w:rPr>
          <w:rFonts w:ascii="Arial" w:eastAsia="Times New Roman" w:hAnsi="Arial" w:cs="Arial"/>
          <w:b/>
          <w:bCs/>
          <w:color w:val="333333"/>
          <w:kern w:val="0"/>
          <w:sz w:val="26"/>
          <w:szCs w:val="26"/>
          <w:lang w:eastAsia="es-UY"/>
          <w14:ligatures w14:val="none"/>
        </w:rPr>
        <w:t>Munduruku</w:t>
      </w:r>
      <w:proofErr w:type="spellEnd"/>
      <w:r w:rsidRPr="00D639D7">
        <w:rPr>
          <w:rFonts w:ascii="Arial" w:eastAsia="Times New Roman" w:hAnsi="Arial" w:cs="Arial"/>
          <w:color w:val="333333"/>
          <w:kern w:val="0"/>
          <w:sz w:val="26"/>
          <w:szCs w:val="26"/>
          <w:lang w:eastAsia="es-UY"/>
          <w14:ligatures w14:val="none"/>
        </w:rPr>
        <w:t> . Sin embargo, estos elementos suelen aparecer como notas técnicas, y no como base para la decisión. El territorio se reduce a una variable.</w:t>
      </w:r>
    </w:p>
    <w:p w14:paraId="641A9A39"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Es en este punto donde la cuestión de la consulta libre, previa e informada, tal como se establece en el </w:t>
      </w:r>
      <w:r w:rsidRPr="00D639D7">
        <w:rPr>
          <w:rFonts w:ascii="Arial" w:eastAsia="Times New Roman" w:hAnsi="Arial" w:cs="Arial"/>
          <w:b/>
          <w:bCs/>
          <w:color w:val="333333"/>
          <w:kern w:val="0"/>
          <w:sz w:val="26"/>
          <w:szCs w:val="26"/>
          <w:lang w:eastAsia="es-UY"/>
          <w14:ligatures w14:val="none"/>
        </w:rPr>
        <w:t>Convenio 169 de la Organización Internacional del Trabajo</w:t>
      </w:r>
      <w:r w:rsidRPr="00D639D7">
        <w:rPr>
          <w:rFonts w:ascii="Arial" w:eastAsia="Times New Roman" w:hAnsi="Arial" w:cs="Arial"/>
          <w:color w:val="333333"/>
          <w:kern w:val="0"/>
          <w:sz w:val="26"/>
          <w:szCs w:val="26"/>
          <w:lang w:eastAsia="es-UY"/>
          <w14:ligatures w14:val="none"/>
        </w:rPr>
        <w:t> , se vuelve fundamental.</w:t>
      </w:r>
    </w:p>
    <w:p w14:paraId="6B9B5D36"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Esto no es un detalle de procedimiento. Es el criterio mínimo para la legitimidad democrática en contextos de intervención en territorios tradicionales. Y, sin embargo, este derecho sigue siendo sistemáticamente ignorado.</w:t>
      </w:r>
    </w:p>
    <w:p w14:paraId="4253DF05"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El episodio ocurrido el 7 de abril en </w:t>
      </w:r>
      <w:r w:rsidRPr="00D639D7">
        <w:rPr>
          <w:rFonts w:ascii="Arial" w:eastAsia="Times New Roman" w:hAnsi="Arial" w:cs="Arial"/>
          <w:b/>
          <w:bCs/>
          <w:color w:val="333333"/>
          <w:kern w:val="0"/>
          <w:sz w:val="26"/>
          <w:szCs w:val="26"/>
          <w:lang w:eastAsia="es-UY"/>
          <w14:ligatures w14:val="none"/>
        </w:rPr>
        <w:t>Brasilia</w:t>
      </w:r>
      <w:r w:rsidRPr="00D639D7">
        <w:rPr>
          <w:rFonts w:ascii="Arial" w:eastAsia="Times New Roman" w:hAnsi="Arial" w:cs="Arial"/>
          <w:color w:val="333333"/>
          <w:kern w:val="0"/>
          <w:sz w:val="26"/>
          <w:szCs w:val="26"/>
          <w:lang w:eastAsia="es-UY"/>
          <w14:ligatures w14:val="none"/>
        </w:rPr>
        <w:t> es emblemático. Una audiencia en la </w:t>
      </w:r>
      <w:r w:rsidRPr="00D639D7">
        <w:rPr>
          <w:rFonts w:ascii="Arial" w:eastAsia="Times New Roman" w:hAnsi="Arial" w:cs="Arial"/>
          <w:b/>
          <w:bCs/>
          <w:color w:val="333333"/>
          <w:kern w:val="0"/>
          <w:sz w:val="26"/>
          <w:szCs w:val="26"/>
          <w:lang w:eastAsia="es-UY"/>
          <w14:ligatures w14:val="none"/>
        </w:rPr>
        <w:t>Cámara de Diputados</w:t>
      </w:r>
      <w:r w:rsidRPr="00D639D7">
        <w:rPr>
          <w:rFonts w:ascii="Arial" w:eastAsia="Times New Roman" w:hAnsi="Arial" w:cs="Arial"/>
          <w:color w:val="333333"/>
          <w:kern w:val="0"/>
          <w:sz w:val="26"/>
          <w:szCs w:val="26"/>
          <w:lang w:eastAsia="es-UY"/>
          <w14:ligatures w14:val="none"/>
        </w:rPr>
        <w:t> sobre </w:t>
      </w:r>
      <w:hyperlink r:id="rId11" w:tgtFrame="_blank" w:history="1">
        <w:r w:rsidRPr="00D639D7">
          <w:rPr>
            <w:rFonts w:ascii="Arial" w:eastAsia="Times New Roman" w:hAnsi="Arial" w:cs="Arial"/>
            <w:color w:val="FC6B01"/>
            <w:kern w:val="0"/>
            <w:sz w:val="26"/>
            <w:szCs w:val="26"/>
            <w:u w:val="single"/>
            <w:lang w:eastAsia="es-UY"/>
            <w14:ligatures w14:val="none"/>
          </w:rPr>
          <w:t>los cauces fluviales de los ríos Madeira, Tapajós y Tocantins</w:t>
        </w:r>
      </w:hyperlink>
      <w:r w:rsidRPr="00D639D7">
        <w:rPr>
          <w:rFonts w:ascii="Arial" w:eastAsia="Times New Roman" w:hAnsi="Arial" w:cs="Arial"/>
          <w:color w:val="333333"/>
          <w:kern w:val="0"/>
          <w:sz w:val="26"/>
          <w:szCs w:val="26"/>
          <w:lang w:eastAsia="es-UY"/>
          <w14:ligatures w14:val="none"/>
        </w:rPr>
        <w:t> fue cancelada tras una movilización de </w:t>
      </w:r>
      <w:r w:rsidRPr="00D639D7">
        <w:rPr>
          <w:rFonts w:ascii="Arial" w:eastAsia="Times New Roman" w:hAnsi="Arial" w:cs="Arial"/>
          <w:b/>
          <w:bCs/>
          <w:color w:val="333333"/>
          <w:kern w:val="0"/>
          <w:sz w:val="26"/>
          <w:szCs w:val="26"/>
          <w:lang w:eastAsia="es-UY"/>
          <w14:ligatures w14:val="none"/>
        </w:rPr>
        <w:t>14 pueblos de la región del Bajo Tapajós</w:t>
      </w:r>
      <w:r w:rsidRPr="00D639D7">
        <w:rPr>
          <w:rFonts w:ascii="Arial" w:eastAsia="Times New Roman" w:hAnsi="Arial" w:cs="Arial"/>
          <w:color w:val="333333"/>
          <w:kern w:val="0"/>
          <w:sz w:val="26"/>
          <w:szCs w:val="26"/>
          <w:lang w:eastAsia="es-UY"/>
          <w14:ligatures w14:val="none"/>
        </w:rPr>
        <w:t> , representados por </w:t>
      </w:r>
      <w:r w:rsidRPr="00D639D7">
        <w:rPr>
          <w:rFonts w:ascii="Arial" w:eastAsia="Times New Roman" w:hAnsi="Arial" w:cs="Arial"/>
          <w:b/>
          <w:bCs/>
          <w:color w:val="333333"/>
          <w:kern w:val="0"/>
          <w:sz w:val="26"/>
          <w:szCs w:val="26"/>
          <w:lang w:eastAsia="es-UY"/>
          <w14:ligatures w14:val="none"/>
        </w:rPr>
        <w:t>Lukas Tupinambá</w:t>
      </w:r>
      <w:r w:rsidRPr="00D639D7">
        <w:rPr>
          <w:rFonts w:ascii="Arial" w:eastAsia="Times New Roman" w:hAnsi="Arial" w:cs="Arial"/>
          <w:color w:val="333333"/>
          <w:kern w:val="0"/>
          <w:sz w:val="26"/>
          <w:szCs w:val="26"/>
          <w:lang w:eastAsia="es-UY"/>
          <w14:ligatures w14:val="none"/>
        </w:rPr>
        <w:t> , quien denunció, en una manifestación pública en la Cámara de Diputados, la ausencia de los pueblos directamente afectados, incluso con miles de indígenas reunidos en la ciudad para el Campamento Tierra Libre 2026.</w:t>
      </w:r>
    </w:p>
    <w:p w14:paraId="269FAD24"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No se trataba de una falta de presencia física. Se trataba de una ausencia de inclusión política.</w:t>
      </w:r>
    </w:p>
    <w:p w14:paraId="56C20E40"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Lo que diferencia el momento actual de otros ciclos de conflicto en la </w:t>
      </w:r>
      <w:r w:rsidRPr="00D639D7">
        <w:rPr>
          <w:rFonts w:ascii="Arial" w:eastAsia="Times New Roman" w:hAnsi="Arial" w:cs="Arial"/>
          <w:b/>
          <w:bCs/>
          <w:color w:val="333333"/>
          <w:kern w:val="0"/>
          <w:sz w:val="26"/>
          <w:szCs w:val="26"/>
          <w:lang w:eastAsia="es-UY"/>
          <w14:ligatures w14:val="none"/>
        </w:rPr>
        <w:t>Amazonía</w:t>
      </w:r>
      <w:r w:rsidRPr="00D639D7">
        <w:rPr>
          <w:rFonts w:ascii="Arial" w:eastAsia="Times New Roman" w:hAnsi="Arial" w:cs="Arial"/>
          <w:color w:val="333333"/>
          <w:kern w:val="0"/>
          <w:sz w:val="26"/>
          <w:szCs w:val="26"/>
          <w:lang w:eastAsia="es-UY"/>
          <w14:ligatures w14:val="none"/>
        </w:rPr>
        <w:t> es la transformación del movimiento indígena en un actor político con capacidad efectiva para influir en la situación. Los pueblos del </w:t>
      </w:r>
      <w:r w:rsidRPr="00D639D7">
        <w:rPr>
          <w:rFonts w:ascii="Arial" w:eastAsia="Times New Roman" w:hAnsi="Arial" w:cs="Arial"/>
          <w:b/>
          <w:bCs/>
          <w:color w:val="333333"/>
          <w:kern w:val="0"/>
          <w:sz w:val="26"/>
          <w:szCs w:val="26"/>
          <w:lang w:eastAsia="es-UY"/>
          <w14:ligatures w14:val="none"/>
        </w:rPr>
        <w:t>Bajo Tapajós</w:t>
      </w:r>
      <w:r w:rsidRPr="00D639D7">
        <w:rPr>
          <w:rFonts w:ascii="Arial" w:eastAsia="Times New Roman" w:hAnsi="Arial" w:cs="Arial"/>
          <w:color w:val="333333"/>
          <w:kern w:val="0"/>
          <w:sz w:val="26"/>
          <w:szCs w:val="26"/>
          <w:lang w:eastAsia="es-UY"/>
          <w14:ligatures w14:val="none"/>
        </w:rPr>
        <w:t> han demostrado consistentemente que no solo resisten, sino que también generan resultados.</w:t>
      </w:r>
    </w:p>
    <w:p w14:paraId="6DA994B9"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En los últimos años, han ocupado instituciones públicas, presionado a los gobiernos, confrontado a grandes corporaciones y mantenido movilizaciones prolongadas hasta lograr la revocación de decisiones. La reciente derogación del </w:t>
      </w:r>
      <w:hyperlink r:id="rId12" w:tgtFrame="_blank" w:history="1">
        <w:r w:rsidRPr="00D639D7">
          <w:rPr>
            <w:rFonts w:ascii="Arial" w:eastAsia="Times New Roman" w:hAnsi="Arial" w:cs="Arial"/>
            <w:color w:val="FC6B01"/>
            <w:kern w:val="0"/>
            <w:sz w:val="26"/>
            <w:szCs w:val="26"/>
            <w:u w:val="single"/>
            <w:lang w:eastAsia="es-UY"/>
            <w14:ligatures w14:val="none"/>
          </w:rPr>
          <w:t xml:space="preserve">Decreto </w:t>
        </w:r>
        <w:proofErr w:type="spellStart"/>
        <w:r w:rsidRPr="00D639D7">
          <w:rPr>
            <w:rFonts w:ascii="Arial" w:eastAsia="Times New Roman" w:hAnsi="Arial" w:cs="Arial"/>
            <w:color w:val="FC6B01"/>
            <w:kern w:val="0"/>
            <w:sz w:val="26"/>
            <w:szCs w:val="26"/>
            <w:u w:val="single"/>
            <w:lang w:eastAsia="es-UY"/>
            <w14:ligatures w14:val="none"/>
          </w:rPr>
          <w:t>n.°</w:t>
        </w:r>
        <w:proofErr w:type="spellEnd"/>
        <w:r w:rsidRPr="00D639D7">
          <w:rPr>
            <w:rFonts w:ascii="Arial" w:eastAsia="Times New Roman" w:hAnsi="Arial" w:cs="Arial"/>
            <w:color w:val="FC6B01"/>
            <w:kern w:val="0"/>
            <w:sz w:val="26"/>
            <w:szCs w:val="26"/>
            <w:u w:val="single"/>
            <w:lang w:eastAsia="es-UY"/>
            <w14:ligatures w14:val="none"/>
          </w:rPr>
          <w:t xml:space="preserve"> 12.600/2025</w:t>
        </w:r>
      </w:hyperlink>
      <w:r w:rsidRPr="00D639D7">
        <w:rPr>
          <w:rFonts w:ascii="Arial" w:eastAsia="Times New Roman" w:hAnsi="Arial" w:cs="Arial"/>
          <w:color w:val="333333"/>
          <w:kern w:val="0"/>
          <w:sz w:val="26"/>
          <w:szCs w:val="26"/>
          <w:lang w:eastAsia="es-UY"/>
          <w14:ligatures w14:val="none"/>
        </w:rPr>
        <w:t> —que </w:t>
      </w:r>
      <w:hyperlink r:id="rId13" w:tgtFrame="_blank" w:history="1">
        <w:r w:rsidRPr="00D639D7">
          <w:rPr>
            <w:rFonts w:ascii="Arial" w:eastAsia="Times New Roman" w:hAnsi="Arial" w:cs="Arial"/>
            <w:color w:val="FC6B01"/>
            <w:kern w:val="0"/>
            <w:sz w:val="26"/>
            <w:szCs w:val="26"/>
            <w:u w:val="single"/>
            <w:lang w:eastAsia="es-UY"/>
            <w14:ligatures w14:val="none"/>
          </w:rPr>
          <w:t>privatizaba las vías navegables de los ríos Madeira, Tapajós y Tocantins—</w:t>
        </w:r>
      </w:hyperlink>
      <w:r w:rsidRPr="00D639D7">
        <w:rPr>
          <w:rFonts w:ascii="Arial" w:eastAsia="Times New Roman" w:hAnsi="Arial" w:cs="Arial"/>
          <w:color w:val="333333"/>
          <w:kern w:val="0"/>
          <w:sz w:val="26"/>
          <w:szCs w:val="26"/>
          <w:lang w:eastAsia="es-UY"/>
          <w14:ligatures w14:val="none"/>
        </w:rPr>
        <w:t> no fue un gesto espontáneo del Estado, sino el resultado directo de una estrategia política basada en la ocupación, la permanencia y la articulación. El desplazamiento de estos líderes ante el </w:t>
      </w:r>
      <w:r w:rsidRPr="00D639D7">
        <w:rPr>
          <w:rFonts w:ascii="Arial" w:eastAsia="Times New Roman" w:hAnsi="Arial" w:cs="Arial"/>
          <w:b/>
          <w:bCs/>
          <w:color w:val="333333"/>
          <w:kern w:val="0"/>
          <w:sz w:val="26"/>
          <w:szCs w:val="26"/>
          <w:lang w:eastAsia="es-UY"/>
          <w14:ligatures w14:val="none"/>
        </w:rPr>
        <w:t>Tribunal Supremo Federal</w:t>
      </w:r>
      <w:r w:rsidRPr="00D639D7">
        <w:rPr>
          <w:rFonts w:ascii="Arial" w:eastAsia="Times New Roman" w:hAnsi="Arial" w:cs="Arial"/>
          <w:color w:val="333333"/>
          <w:kern w:val="0"/>
          <w:sz w:val="26"/>
          <w:szCs w:val="26"/>
          <w:lang w:eastAsia="es-UY"/>
          <w14:ligatures w14:val="none"/>
        </w:rPr>
        <w:t> evidencia la continuación de este proceso.</w:t>
      </w:r>
    </w:p>
    <w:p w14:paraId="1DBB777E"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lastRenderedPageBreak/>
        <w:t>Esto no es una protesta. Es una disputa. Sin embargo, existe una clara discrepancia en la forma en que opera el Estado. Cuando se trata de garantizar la fluidez económica, las decisiones se toman con rapidez. Los proyectos avanzan, las regulaciones se flexibilizan, las licencias se ajustan.</w:t>
      </w:r>
    </w:p>
    <w:p w14:paraId="3BE3E109"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En lo que respecta a la protección de los derechos territoriales, el proceso se prolonga innecesariamente. No se realizan consultas, la participación es limitada y se ignoran los protocolos.</w:t>
      </w:r>
    </w:p>
    <w:p w14:paraId="303CDBF4"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Esta asimetría revela una jerarquía implícita: la economía estructura el tiempo del Estado, y los derechos intentan alcanzarlo.</w:t>
      </w:r>
    </w:p>
    <w:p w14:paraId="29CEF6A2"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Mientras el caso se tramita en el </w:t>
      </w:r>
      <w:r w:rsidRPr="00D639D7">
        <w:rPr>
          <w:rFonts w:ascii="Arial" w:eastAsia="Times New Roman" w:hAnsi="Arial" w:cs="Arial"/>
          <w:b/>
          <w:bCs/>
          <w:color w:val="333333"/>
          <w:kern w:val="0"/>
          <w:sz w:val="26"/>
          <w:szCs w:val="26"/>
          <w:lang w:eastAsia="es-UY"/>
          <w14:ligatures w14:val="none"/>
        </w:rPr>
        <w:t>Tribunal Supremo Federal (TSF)</w:t>
      </w:r>
      <w:r w:rsidRPr="00D639D7">
        <w:rPr>
          <w:rFonts w:ascii="Arial" w:eastAsia="Times New Roman" w:hAnsi="Arial" w:cs="Arial"/>
          <w:color w:val="333333"/>
          <w:kern w:val="0"/>
          <w:sz w:val="26"/>
          <w:szCs w:val="26"/>
          <w:lang w:eastAsia="es-UY"/>
          <w14:ligatures w14:val="none"/>
        </w:rPr>
        <w:t> , 7.000 indígenas permanecen en el </w:t>
      </w:r>
      <w:hyperlink r:id="rId14" w:tgtFrame="_blank" w:history="1">
        <w:r w:rsidRPr="00D639D7">
          <w:rPr>
            <w:rFonts w:ascii="Arial" w:eastAsia="Times New Roman" w:hAnsi="Arial" w:cs="Arial"/>
            <w:color w:val="FC6B01"/>
            <w:kern w:val="0"/>
            <w:sz w:val="26"/>
            <w:szCs w:val="26"/>
            <w:u w:val="single"/>
            <w:lang w:eastAsia="es-UY"/>
            <w14:ligatures w14:val="none"/>
          </w:rPr>
          <w:t>ATL 2026 en Brasilia</w:t>
        </w:r>
      </w:hyperlink>
      <w:r w:rsidRPr="00D639D7">
        <w:rPr>
          <w:rFonts w:ascii="Arial" w:eastAsia="Times New Roman" w:hAnsi="Arial" w:cs="Arial"/>
          <w:color w:val="333333"/>
          <w:kern w:val="0"/>
          <w:sz w:val="26"/>
          <w:szCs w:val="26"/>
          <w:lang w:eastAsia="es-UY"/>
          <w14:ligatures w14:val="none"/>
        </w:rPr>
        <w:t> , demostrando que no son variables que deban ajustarse en un proyecto de desarrollo que nunca ayudaron a definir.</w:t>
      </w:r>
    </w:p>
    <w:p w14:paraId="03D87A46" w14:textId="77777777" w:rsidR="00D639D7" w:rsidRPr="00D639D7" w:rsidRDefault="00D639D7" w:rsidP="00D639D7">
      <w:pPr>
        <w:spacing w:after="0" w:line="240" w:lineRule="auto"/>
        <w:jc w:val="both"/>
        <w:rPr>
          <w:rFonts w:ascii="Arial" w:eastAsia="Times New Roman" w:hAnsi="Arial" w:cs="Arial"/>
          <w:color w:val="333333"/>
          <w:kern w:val="0"/>
          <w:sz w:val="26"/>
          <w:szCs w:val="26"/>
          <w:lang w:eastAsia="es-UY"/>
          <w14:ligatures w14:val="none"/>
        </w:rPr>
      </w:pPr>
      <w:r w:rsidRPr="00D639D7">
        <w:rPr>
          <w:rFonts w:ascii="Arial" w:eastAsia="Times New Roman" w:hAnsi="Arial" w:cs="Arial"/>
          <w:color w:val="333333"/>
          <w:kern w:val="0"/>
          <w:sz w:val="26"/>
          <w:szCs w:val="26"/>
          <w:lang w:eastAsia="es-UY"/>
          <w14:ligatures w14:val="none"/>
        </w:rPr>
        <w:t>El </w:t>
      </w:r>
      <w:r w:rsidRPr="00D639D7">
        <w:rPr>
          <w:rFonts w:ascii="Arial" w:eastAsia="Times New Roman" w:hAnsi="Arial" w:cs="Arial"/>
          <w:b/>
          <w:bCs/>
          <w:color w:val="333333"/>
          <w:kern w:val="0"/>
          <w:sz w:val="26"/>
          <w:szCs w:val="26"/>
          <w:lang w:eastAsia="es-UY"/>
          <w14:ligatures w14:val="none"/>
        </w:rPr>
        <w:t xml:space="preserve">ferrocarril de </w:t>
      </w:r>
      <w:proofErr w:type="spellStart"/>
      <w:r w:rsidRPr="00D639D7">
        <w:rPr>
          <w:rFonts w:ascii="Arial" w:eastAsia="Times New Roman" w:hAnsi="Arial" w:cs="Arial"/>
          <w:b/>
          <w:bCs/>
          <w:color w:val="333333"/>
          <w:kern w:val="0"/>
          <w:sz w:val="26"/>
          <w:szCs w:val="26"/>
          <w:lang w:eastAsia="es-UY"/>
          <w14:ligatures w14:val="none"/>
        </w:rPr>
        <w:t>Ferrogrão</w:t>
      </w:r>
      <w:proofErr w:type="spellEnd"/>
      <w:r w:rsidRPr="00D639D7">
        <w:rPr>
          <w:rFonts w:ascii="Arial" w:eastAsia="Times New Roman" w:hAnsi="Arial" w:cs="Arial"/>
          <w:color w:val="333333"/>
          <w:kern w:val="0"/>
          <w:sz w:val="26"/>
          <w:szCs w:val="26"/>
          <w:lang w:eastAsia="es-UY"/>
          <w14:ligatures w14:val="none"/>
        </w:rPr>
        <w:t> no es inevitable. Transformar ríos en vías navegables no es la única solución. El </w:t>
      </w:r>
      <w:r w:rsidRPr="00D639D7">
        <w:rPr>
          <w:rFonts w:ascii="Arial" w:eastAsia="Times New Roman" w:hAnsi="Arial" w:cs="Arial"/>
          <w:b/>
          <w:bCs/>
          <w:color w:val="333333"/>
          <w:kern w:val="0"/>
          <w:sz w:val="26"/>
          <w:szCs w:val="26"/>
          <w:lang w:eastAsia="es-UY"/>
          <w14:ligatures w14:val="none"/>
        </w:rPr>
        <w:t>Arco Norte</w:t>
      </w:r>
      <w:r w:rsidRPr="00D639D7">
        <w:rPr>
          <w:rFonts w:ascii="Arial" w:eastAsia="Times New Roman" w:hAnsi="Arial" w:cs="Arial"/>
          <w:color w:val="333333"/>
          <w:kern w:val="0"/>
          <w:sz w:val="26"/>
          <w:szCs w:val="26"/>
          <w:lang w:eastAsia="es-UY"/>
          <w14:ligatures w14:val="none"/>
        </w:rPr>
        <w:t> es una elección. Una elección sobre el territorio, sobre quién puede habitarlo y, sobre todo, sobre quién puede decidir su futuro. Lo que está en juego, por lo tanto, no es solo la legalidad de una unidad de conservación, sino la legitimidad de un modelo de poder. Ante esto, la pregunta que resuena desde el río Tapajós hasta Brasilia sigue siendo ineludible: ¿quién tiene derecho a decidir el destino de la </w:t>
      </w:r>
      <w:r w:rsidRPr="00D639D7">
        <w:rPr>
          <w:rFonts w:ascii="Arial" w:eastAsia="Times New Roman" w:hAnsi="Arial" w:cs="Arial"/>
          <w:b/>
          <w:bCs/>
          <w:color w:val="333333"/>
          <w:kern w:val="0"/>
          <w:sz w:val="26"/>
          <w:szCs w:val="26"/>
          <w:lang w:eastAsia="es-UY"/>
          <w14:ligatures w14:val="none"/>
        </w:rPr>
        <w:t>Amazonía</w:t>
      </w:r>
      <w:r w:rsidRPr="00D639D7">
        <w:rPr>
          <w:rFonts w:ascii="Arial" w:eastAsia="Times New Roman" w:hAnsi="Arial" w:cs="Arial"/>
          <w:color w:val="333333"/>
          <w:kern w:val="0"/>
          <w:sz w:val="26"/>
          <w:szCs w:val="26"/>
          <w:lang w:eastAsia="es-UY"/>
          <w14:ligatures w14:val="none"/>
        </w:rPr>
        <w:t> ?</w:t>
      </w:r>
    </w:p>
    <w:p w14:paraId="5AD5981E" w14:textId="77777777" w:rsidR="00926044" w:rsidRDefault="00926044"/>
    <w:p w14:paraId="40F6DAAE" w14:textId="2891252C" w:rsidR="00364877" w:rsidRDefault="00364877">
      <w:hyperlink r:id="rId15" w:history="1">
        <w:r w:rsidRPr="00685211">
          <w:rPr>
            <w:rStyle w:val="Hipervnculo"/>
          </w:rPr>
          <w:t>https://www.ihu.unisinos.br/664637-amazonia-por-que-os-indigenas-voltam-a-luta-artigo-de-fabio-caetano</w:t>
        </w:r>
      </w:hyperlink>
    </w:p>
    <w:p w14:paraId="45832D2C" w14:textId="77777777" w:rsidR="00364877" w:rsidRDefault="00364877"/>
    <w:sectPr w:rsidR="0036487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9D7"/>
    <w:rsid w:val="00364877"/>
    <w:rsid w:val="00926044"/>
    <w:rsid w:val="00CE0E23"/>
    <w:rsid w:val="00D639D7"/>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77B75"/>
  <w15:chartTrackingRefBased/>
  <w15:docId w15:val="{7ACBA458-F9C8-4B43-96B6-46BB09BD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639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639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639D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639D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639D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639D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39D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39D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39D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39D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639D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639D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639D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639D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639D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639D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639D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639D7"/>
    <w:rPr>
      <w:rFonts w:eastAsiaTheme="majorEastAsia" w:cstheme="majorBidi"/>
      <w:color w:val="272727" w:themeColor="text1" w:themeTint="D8"/>
    </w:rPr>
  </w:style>
  <w:style w:type="paragraph" w:styleId="Ttulo">
    <w:name w:val="Title"/>
    <w:basedOn w:val="Normal"/>
    <w:next w:val="Normal"/>
    <w:link w:val="TtuloCar"/>
    <w:uiPriority w:val="10"/>
    <w:qFormat/>
    <w:rsid w:val="00D639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39D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39D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639D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39D7"/>
    <w:pPr>
      <w:spacing w:before="160"/>
      <w:jc w:val="center"/>
    </w:pPr>
    <w:rPr>
      <w:i/>
      <w:iCs/>
      <w:color w:val="404040" w:themeColor="text1" w:themeTint="BF"/>
    </w:rPr>
  </w:style>
  <w:style w:type="character" w:customStyle="1" w:styleId="CitaCar">
    <w:name w:val="Cita Car"/>
    <w:basedOn w:val="Fuentedeprrafopredeter"/>
    <w:link w:val="Cita"/>
    <w:uiPriority w:val="29"/>
    <w:rsid w:val="00D639D7"/>
    <w:rPr>
      <w:i/>
      <w:iCs/>
      <w:color w:val="404040" w:themeColor="text1" w:themeTint="BF"/>
    </w:rPr>
  </w:style>
  <w:style w:type="paragraph" w:styleId="Prrafodelista">
    <w:name w:val="List Paragraph"/>
    <w:basedOn w:val="Normal"/>
    <w:uiPriority w:val="34"/>
    <w:qFormat/>
    <w:rsid w:val="00D639D7"/>
    <w:pPr>
      <w:ind w:left="720"/>
      <w:contextualSpacing/>
    </w:pPr>
  </w:style>
  <w:style w:type="character" w:styleId="nfasisintenso">
    <w:name w:val="Intense Emphasis"/>
    <w:basedOn w:val="Fuentedeprrafopredeter"/>
    <w:uiPriority w:val="21"/>
    <w:qFormat/>
    <w:rsid w:val="00D639D7"/>
    <w:rPr>
      <w:i/>
      <w:iCs/>
      <w:color w:val="0F4761" w:themeColor="accent1" w:themeShade="BF"/>
    </w:rPr>
  </w:style>
  <w:style w:type="paragraph" w:styleId="Citadestacada">
    <w:name w:val="Intense Quote"/>
    <w:basedOn w:val="Normal"/>
    <w:next w:val="Normal"/>
    <w:link w:val="CitadestacadaCar"/>
    <w:uiPriority w:val="30"/>
    <w:qFormat/>
    <w:rsid w:val="00D639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639D7"/>
    <w:rPr>
      <w:i/>
      <w:iCs/>
      <w:color w:val="0F4761" w:themeColor="accent1" w:themeShade="BF"/>
    </w:rPr>
  </w:style>
  <w:style w:type="character" w:styleId="Referenciaintensa">
    <w:name w:val="Intense Reference"/>
    <w:basedOn w:val="Fuentedeprrafopredeter"/>
    <w:uiPriority w:val="32"/>
    <w:qFormat/>
    <w:rsid w:val="00D639D7"/>
    <w:rPr>
      <w:b/>
      <w:bCs/>
      <w:smallCaps/>
      <w:color w:val="0F4761" w:themeColor="accent1" w:themeShade="BF"/>
      <w:spacing w:val="5"/>
    </w:rPr>
  </w:style>
  <w:style w:type="character" w:styleId="Hipervnculo">
    <w:name w:val="Hyperlink"/>
    <w:basedOn w:val="Fuentedeprrafopredeter"/>
    <w:uiPriority w:val="99"/>
    <w:unhideWhenUsed/>
    <w:rsid w:val="00364877"/>
    <w:rPr>
      <w:color w:val="467886" w:themeColor="hyperlink"/>
      <w:u w:val="single"/>
    </w:rPr>
  </w:style>
  <w:style w:type="character" w:styleId="Mencinsinresolver">
    <w:name w:val="Unresolved Mention"/>
    <w:basedOn w:val="Fuentedeprrafopredeter"/>
    <w:uiPriority w:val="99"/>
    <w:semiHidden/>
    <w:unhideWhenUsed/>
    <w:rsid w:val="00364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49000-ferrograo-estudo-questiona-viabilidade-e-aponta-riscos-socioambientais" TargetMode="External"/><Relationship Id="rId13" Type="http://schemas.openxmlformats.org/officeDocument/2006/relationships/hyperlink" Target="https://ihu.unisinos.br/categorias/662756-uma-vitoria-indigena-apos-tantas-perdas-artigo-de-alexandre-gaspari" TargetMode="External"/><Relationship Id="rId3" Type="http://schemas.openxmlformats.org/officeDocument/2006/relationships/webSettings" Target="webSettings.xml"/><Relationship Id="rId7" Type="http://schemas.openxmlformats.org/officeDocument/2006/relationships/hyperlink" Target="https://www.ihu.unisinos.br/664527-psol-e-organizacoes-indigenas-e-da-sociedade-civil-apresentam-no-stf-analises-contra-a-ferrograo" TargetMode="External"/><Relationship Id="rId12" Type="http://schemas.openxmlformats.org/officeDocument/2006/relationships/hyperlink" Target="https://www.ihu.unisinos.br/categorias/662695-indigenas-iniciam-desocupacao-da-cargill-apos-derrubada-do-decreto-n-12-60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hu.unisinos.br/categorias/637408-povos-indigenas-sentenciam-o-fim-da-ferrograo" TargetMode="External"/><Relationship Id="rId11" Type="http://schemas.openxmlformats.org/officeDocument/2006/relationships/hyperlink" Target="https://www.ihu.unisinos.br/categorias/662622-governo-federal-revoga-decreto-que-privatizava-rios-da-amazonia-apos-um-mes-de-ocupacao-indigena-no-tapajos" TargetMode="External"/><Relationship Id="rId5" Type="http://schemas.openxmlformats.org/officeDocument/2006/relationships/hyperlink" Target="https://ihu.unisinos.br/662719-rios-amazonicos-a-dimensao-real-da-vitoria-artigo-de-fabio-caetano" TargetMode="External"/><Relationship Id="rId15" Type="http://schemas.openxmlformats.org/officeDocument/2006/relationships/hyperlink" Target="https://www.ihu.unisinos.br/664637-amazonia-por-que-os-indigenas-voltam-a-luta-artigo-de-fabio-caetano" TargetMode="External"/><Relationship Id="rId10" Type="http://schemas.openxmlformats.org/officeDocument/2006/relationships/hyperlink" Target="https://ihu.unisinos.br/categorias/186-noticias-2017/568757-mudanca-no-parque-jamanxim-no-pa-abre-caminho-para-garimpo" TargetMode="External"/><Relationship Id="rId4" Type="http://schemas.openxmlformats.org/officeDocument/2006/relationships/image" Target="media/image1.png"/><Relationship Id="rId9" Type="http://schemas.openxmlformats.org/officeDocument/2006/relationships/hyperlink" Target="https://ihu.unisinos.br/categorias/653419-dragagem-do-rio-tapajos-a-urgencia-das-empresas-na-crise-climatica-e-contra-a-vida-artigo-de-pedro-martins-e-vanildo-pereira" TargetMode="External"/><Relationship Id="rId14" Type="http://schemas.openxmlformats.org/officeDocument/2006/relationships/hyperlink" Target="https://www.ihu.unisinos.br/categorias/664449-atl-reune-7-mil-indigenas-em-brasilia-contra-retrocessos-e-pressiona-governo-lula-por-demarcaco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2264</Words>
  <Characters>12454</Characters>
  <Application>Microsoft Office Word</Application>
  <DocSecurity>0</DocSecurity>
  <Lines>103</Lines>
  <Paragraphs>29</Paragraphs>
  <ScaleCrop>false</ScaleCrop>
  <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2026-04-10T14:16:00Z</dcterms:created>
  <dcterms:modified xsi:type="dcterms:W3CDTF">2026-04-10T14:16:00Z</dcterms:modified>
</cp:coreProperties>
</file>