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4510" w14:textId="77777777" w:rsidR="00744CCA" w:rsidRPr="00744CCA" w:rsidRDefault="00744CCA" w:rsidP="00744CCA">
      <w:pPr>
        <w:shd w:val="clear" w:color="auto" w:fill="FFFFFF"/>
        <w:spacing w:before="400" w:after="120" w:line="240" w:lineRule="auto"/>
        <w:jc w:val="both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744CCA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UY"/>
          <w14:ligatures w14:val="none"/>
        </w:rPr>
        <w:t xml:space="preserve">Elon Musk declara la guerra total a </w:t>
      </w:r>
      <w:proofErr w:type="spellStart"/>
      <w:r w:rsidRPr="00744CCA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UY"/>
          <w14:ligatures w14:val="none"/>
        </w:rPr>
        <w:t>OpenAI</w:t>
      </w:r>
      <w:proofErr w:type="spellEnd"/>
      <w:r w:rsidRPr="00744CCA">
        <w:rPr>
          <w:rFonts w:ascii="Arial" w:eastAsia="Times New Roman" w:hAnsi="Arial" w:cs="Arial"/>
          <w:b/>
          <w:bCs/>
          <w:color w:val="000000"/>
          <w:kern w:val="36"/>
          <w:sz w:val="40"/>
          <w:szCs w:val="40"/>
          <w:lang w:eastAsia="es-UY"/>
          <w14:ligatures w14:val="none"/>
        </w:rPr>
        <w:t>: exige la destitución de Sam Altman y reclama 134.000 millones</w:t>
      </w:r>
    </w:p>
    <w:p w14:paraId="07DF3335" w14:textId="0983C702" w:rsidR="00744CCA" w:rsidRPr="00744CCA" w:rsidRDefault="00744CCA" w:rsidP="00744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</w:p>
    <w:p w14:paraId="18BC3B2B" w14:textId="77777777" w:rsidR="00744CCA" w:rsidRPr="00744CCA" w:rsidRDefault="00744CCA" w:rsidP="00744CC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El conflicto entre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 xml:space="preserve">Elon Musk y </w:t>
      </w:r>
      <w:proofErr w:type="spellStart"/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OpenAI</w:t>
      </w:r>
      <w:proofErr w:type="spellEnd"/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ha escalado a un nivel sin precedentes tras la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exigencia pública de destituir a Sam Altman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y una reclamación judicial que supera los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134.000 millones de dólares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Musk, cofundador de la organización en su etapa inicial y posteriormente desvinculado del proyecto, ha reactivado una confrontación que ahora se centra en el rumbo de la</w:t>
      </w:r>
      <w:hyperlink r:id="rId5" w:tgtFrame="_blank" w:history="1">
        <w:r w:rsidRPr="00744CCA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744CCA">
          <w:rPr>
            <w:rFonts w:ascii="Arial" w:eastAsia="Times New Roman" w:hAnsi="Arial" w:cs="Arial"/>
            <w:b/>
            <w:bCs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inteligencia artificial</w:t>
        </w:r>
      </w:hyperlink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, convertida en una batalla legal con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implicaciones económicas globales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El enfrentamiento refleja hasta qué punto el control de esta tecnología se ha convertido en un factor crítico dentro de la economía digital.</w:t>
      </w:r>
    </w:p>
    <w:p w14:paraId="08369BF8" w14:textId="77777777" w:rsidR="00744CCA" w:rsidRPr="00744CCA" w:rsidRDefault="00744CCA" w:rsidP="00744CC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44CCA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 xml:space="preserve">El choque legal entre Musk y </w:t>
      </w:r>
      <w:proofErr w:type="spellStart"/>
      <w:r w:rsidRPr="00744CCA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OpenAI</w:t>
      </w:r>
      <w:proofErr w:type="spellEnd"/>
    </w:p>
    <w:p w14:paraId="320A272D" w14:textId="77777777" w:rsidR="00744CCA" w:rsidRPr="00744CCA" w:rsidRDefault="00744CCA" w:rsidP="00744CC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La demanda impulsada por Musk no solo busca compensación económica, sino un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 xml:space="preserve">cambio estructural en la dirección de </w:t>
      </w:r>
      <w:proofErr w:type="spellStart"/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OpenAI</w:t>
      </w:r>
      <w:proofErr w:type="spellEnd"/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. El empresario sostiene que la organización ha derivado desde su modelo original sin ánimo de lucro hacia una estructura híbrida con fines comerciales, apoyada en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acuerdos estratégicos con grandes inversores tecnológicos como Microsoft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lo que habría tensionado su misión fundacional. La cifra reclamada, cercana al PIB de países medianos, refleja la magnitud del conflicto y su impacto potencial en el ecosistema digital.</w:t>
      </w:r>
    </w:p>
    <w:p w14:paraId="4A8DB806" w14:textId="77777777" w:rsidR="00744CCA" w:rsidRPr="00744CCA" w:rsidRDefault="00744CCA" w:rsidP="00744CC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En paralelo, las críticas hacia Sam Altman se han intensificado, incluyendo cuestionamientos sobre su perfil técnico y su papel en la evolución de la compañía. Este escenario coincide con un momento de expansión acelerada del sector, donde factores como el consumo energético comienzan a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influir en decisiones estratégicas y regulatorias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 El debate deja en segundo plano el ritmo de desarrollo de la inteligencia artificial y reabre la discusión sobre su gobernanza en un entorno dominado por inversión privada y alianzas industriales de gran escala.</w:t>
      </w:r>
    </w:p>
    <w:p w14:paraId="39D98D61" w14:textId="77777777" w:rsidR="00744CCA" w:rsidRPr="00744CCA" w:rsidRDefault="00744CCA" w:rsidP="00744CCA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744CCA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Impacto en tecnología y consumo energético</w:t>
      </w:r>
    </w:p>
    <w:p w14:paraId="6A119BDA" w14:textId="77777777" w:rsidR="00744CCA" w:rsidRPr="00744CCA" w:rsidRDefault="00744CCA" w:rsidP="00744CC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El conflicto no se limita a la esfera legal: sus efectos ya se proyectan sobre la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infraestructura tecnológica y energética que sostiene la inteligencia artificial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4094DD53" w14:textId="77777777" w:rsidR="00744CCA" w:rsidRPr="00744CCA" w:rsidRDefault="00744CCA" w:rsidP="00744CCA">
      <w:pPr>
        <w:numPr>
          <w:ilvl w:val="0"/>
          <w:numId w:val="1"/>
        </w:numPr>
        <w:spacing w:before="240"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Reconfiguración del ecosistema tecnológico: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La posible reestructuración de </w:t>
      </w:r>
      <w:proofErr w:type="spellStart"/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OpenAI</w:t>
      </w:r>
      <w:proofErr w:type="spellEnd"/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podría alterar alianzas estratégicas en la industria tecnológica y reordenar su relación con proveedores de infraestructura digital y energética.</w:t>
      </w:r>
    </w:p>
    <w:p w14:paraId="29FB9EE8" w14:textId="77777777" w:rsidR="00744CCA" w:rsidRPr="00744CCA" w:rsidRDefault="00744CCA" w:rsidP="00744CCA">
      <w:pPr>
        <w:numPr>
          <w:ilvl w:val="0"/>
          <w:numId w:val="1"/>
        </w:numPr>
        <w:spacing w:after="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Incremento de la incertidumbre energética global: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La expansión sostenida de la demanda eléctrica asociada a modelos de inteligencia artificial introduce un nivel adicional de incertidumbre en la planificación energética global.</w:t>
      </w:r>
    </w:p>
    <w:p w14:paraId="350BF762" w14:textId="77777777" w:rsidR="00744CCA" w:rsidRPr="00744CCA" w:rsidRDefault="00744CCA" w:rsidP="00744CCA">
      <w:pPr>
        <w:numPr>
          <w:ilvl w:val="0"/>
          <w:numId w:val="1"/>
        </w:numPr>
        <w:spacing w:after="240" w:line="240" w:lineRule="auto"/>
        <w:ind w:left="945"/>
        <w:jc w:val="both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</w:pP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Sostenibilidad como factor estructural: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Informes del</w:t>
      </w:r>
      <w:hyperlink r:id="rId6" w:tgtFrame="_blank" w:history="1">
        <w:r w:rsidRPr="00744CCA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744CCA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mercado energético</w:t>
        </w:r>
      </w:hyperlink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apuntan que el crecimiento del consumo en centros de datos vuelve más relevante el papel de las</w:t>
      </w:r>
      <w:hyperlink r:id="rId7" w:tgtFrame="_blank" w:history="1">
        <w:r w:rsidRPr="00744CCA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744CCA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energías renovables</w:t>
        </w:r>
      </w:hyperlink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para la viabilidad de estos modelos a medio plazo.</w:t>
      </w:r>
    </w:p>
    <w:p w14:paraId="271E40EC" w14:textId="77777777" w:rsidR="00744CCA" w:rsidRPr="00744CCA" w:rsidRDefault="00744CCA" w:rsidP="00744CC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Este escenario refleja cómo la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expansión de la inteligencia artificial depende cada vez más del equilibrio energético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, en un contexto donde la presión regulatoria podría intensificarse como consecuencia directa del litigio. La propia disputa introduce además un elemento de incertidumbre que podría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condicionar futuras inversiones en energías renovables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al desplazar parte del foco institucional y financiero desde la transición energética hacia el conflicto corporativo.</w:t>
      </w:r>
    </w:p>
    <w:p w14:paraId="4EAD5ACD" w14:textId="77777777" w:rsidR="00744CCA" w:rsidRPr="00744CCA" w:rsidRDefault="00744CCA" w:rsidP="00744CC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lastRenderedPageBreak/>
        <w:t xml:space="preserve">Al mismo tiempo, el enfrentamiento no solo reabre debates sobre gobernanza tecnológica, sino también sobre el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modelo de acceso a la inteligencia artificial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, con Musk situando sobre la mesa la idea de si estas herramientas deben mantenerse bajo una lógica puramente comercial o preservar un valor más orientado al uso amplio y accesible, más allá de la lógica de consumo tradicional.</w:t>
      </w:r>
    </w:p>
    <w:p w14:paraId="6B8145BC" w14:textId="77777777" w:rsidR="00744CCA" w:rsidRPr="00744CCA" w:rsidRDefault="00744CCA" w:rsidP="00744CCA">
      <w:pPr>
        <w:shd w:val="clear" w:color="auto" w:fill="FFFFFF"/>
        <w:spacing w:before="360" w:after="80" w:line="240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744CCA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Un sector dividido por el futuro de la inteligencia artificial</w:t>
      </w:r>
    </w:p>
    <w:p w14:paraId="595D2047" w14:textId="77777777" w:rsidR="00744CCA" w:rsidRPr="00744CCA" w:rsidRDefault="00744CCA" w:rsidP="00744CC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Más allá del litigio, el caso evidencia una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lucha por el control del futuro de la inteligencia artificial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. Musk plantea un retorno a principios fundacionales, mientras que la actual dirección defiende una expansión comercial como vía de innovación. Esta tensión refleja un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dilema estructural entre ética, rentabilidad y sostenibilidad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64AC1BAF" w14:textId="77777777" w:rsidR="00744CCA" w:rsidRPr="00744CCA" w:rsidRDefault="00744CCA" w:rsidP="00744CCA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En este escenario, la transición hacia fuentes como la</w:t>
      </w:r>
      <w:hyperlink r:id="rId8" w:tgtFrame="_blank" w:history="1">
        <w:r w:rsidRPr="00744CCA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744CCA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energía solar</w:t>
        </w:r>
      </w:hyperlink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se perfila como un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 xml:space="preserve"> elemento clave para sostener el crecimiento del sector.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Al mismo tiempo, el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impacto ambiental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asociado a estos sistemas vuelve relevante el análisis de la</w:t>
      </w:r>
      <w:hyperlink r:id="rId9" w:tgtFrame="_blank" w:history="1">
        <w:r w:rsidRPr="00744CCA">
          <w:rPr>
            <w:rFonts w:ascii="Arial" w:eastAsia="Times New Roman" w:hAnsi="Arial" w:cs="Arial"/>
            <w:color w:val="000000"/>
            <w:kern w:val="0"/>
            <w:sz w:val="20"/>
            <w:szCs w:val="20"/>
            <w:lang w:eastAsia="es-UY"/>
            <w14:ligatures w14:val="none"/>
          </w:rPr>
          <w:t xml:space="preserve"> </w:t>
        </w:r>
        <w:r w:rsidRPr="00744CCA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huella de carbono</w:t>
        </w:r>
      </w:hyperlink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 como variable cada vez más presente en la toma de decisiones. La evolución del caso será observada de cerca por inversores, reguladores y empresas, conscientes de que se trata de un </w:t>
      </w:r>
      <w:r w:rsidRPr="00744C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s-UY"/>
          <w14:ligatures w14:val="none"/>
        </w:rPr>
        <w:t>punto de inflexión en la gobernanza global de la inteligencia artificial</w:t>
      </w: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>.</w:t>
      </w:r>
    </w:p>
    <w:p w14:paraId="39AEE4E3" w14:textId="77777777" w:rsidR="00744CCA" w:rsidRPr="00744CCA" w:rsidRDefault="00744CCA" w:rsidP="00744C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744CCA">
        <w:rPr>
          <w:rFonts w:ascii="Arial" w:eastAsia="Times New Roman" w:hAnsi="Arial" w:cs="Arial"/>
          <w:color w:val="000000"/>
          <w:kern w:val="0"/>
          <w:sz w:val="20"/>
          <w:szCs w:val="20"/>
          <w:lang w:eastAsia="es-UY"/>
          <w14:ligatures w14:val="none"/>
        </w:rPr>
        <w:t xml:space="preserve">Fuente: </w:t>
      </w:r>
      <w:hyperlink r:id="rId10" w:tgtFrame="_blank" w:history="1">
        <w:r w:rsidRPr="00744CCA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:lang w:eastAsia="es-UY"/>
            <w14:ligatures w14:val="none"/>
          </w:rPr>
          <w:t>papernest.es</w:t>
        </w:r>
      </w:hyperlink>
    </w:p>
    <w:p w14:paraId="2D4FDC5B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C74D1"/>
    <w:multiLevelType w:val="multilevel"/>
    <w:tmpl w:val="3226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28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CCA"/>
    <w:rsid w:val="00090C25"/>
    <w:rsid w:val="00744CCA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964AA"/>
  <w15:chartTrackingRefBased/>
  <w15:docId w15:val="{DD94DA61-19FC-4008-885D-74016A66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4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4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4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4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4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4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4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4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4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4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4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4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4C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4C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4C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4C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4C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4C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4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4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4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4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4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4C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4CC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4C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4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4C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4C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renovables/energia-sola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renovabl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info/mercado-energetic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pernest.es/info/tecnologia/inteligencia-artificial-energia/" TargetMode="External"/><Relationship Id="rId10" Type="http://schemas.openxmlformats.org/officeDocument/2006/relationships/hyperlink" Target="https://www.papernest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info/huella-carbon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2026-04-13T14:14:00Z</dcterms:created>
  <dcterms:modified xsi:type="dcterms:W3CDTF">2026-04-13T14:14:00Z</dcterms:modified>
</cp:coreProperties>
</file>